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07" w:type="dxa"/>
        <w:jc w:val="center"/>
        <w:tblCellSpacing w:w="15" w:type="dxa"/>
        <w:tblCellMar>
          <w:top w:w="15" w:type="dxa"/>
          <w:left w:w="15" w:type="dxa"/>
          <w:bottom w:w="15" w:type="dxa"/>
          <w:right w:w="15" w:type="dxa"/>
        </w:tblCellMar>
        <w:tblLook w:val="04A0" w:firstRow="1" w:lastRow="0" w:firstColumn="1" w:lastColumn="0" w:noHBand="0" w:noVBand="1"/>
      </w:tblPr>
      <w:tblGrid>
        <w:gridCol w:w="1001"/>
        <w:gridCol w:w="1286"/>
        <w:gridCol w:w="8620"/>
        <w:gridCol w:w="1400"/>
      </w:tblGrid>
      <w:tr w:rsidR="006B5455" w:rsidRPr="006B5455" w14:paraId="477CB31E" w14:textId="77777777" w:rsidTr="006B5455">
        <w:trPr>
          <w:tblCellSpacing w:w="15" w:type="dxa"/>
          <w:jc w:val="center"/>
        </w:trPr>
        <w:tc>
          <w:tcPr>
            <w:tcW w:w="0" w:type="auto"/>
            <w:tcBorders>
              <w:top w:val="single" w:sz="6" w:space="0" w:color="000000"/>
              <w:left w:val="single" w:sz="6" w:space="0" w:color="000000"/>
              <w:bottom w:val="single" w:sz="6" w:space="0" w:color="000000"/>
              <w:right w:val="single" w:sz="6" w:space="0" w:color="auto"/>
            </w:tcBorders>
            <w:tcMar>
              <w:top w:w="0" w:type="dxa"/>
              <w:left w:w="105" w:type="dxa"/>
              <w:bottom w:w="0" w:type="dxa"/>
              <w:right w:w="105" w:type="dxa"/>
            </w:tcMar>
            <w:vAlign w:val="center"/>
            <w:hideMark/>
          </w:tcPr>
          <w:p w14:paraId="37C316CC" w14:textId="77777777" w:rsidR="006B5455" w:rsidRPr="006B5455" w:rsidRDefault="006B5455" w:rsidP="006B5455">
            <w:pPr>
              <w:widowControl/>
              <w:spacing w:before="100" w:beforeAutospacing="1" w:after="100" w:afterAutospacing="1"/>
              <w:jc w:val="center"/>
              <w:rPr>
                <w:rFonts w:ascii="宋体" w:eastAsia="宋体" w:hAnsi="宋体" w:cs="宋体"/>
                <w:kern w:val="0"/>
                <w:sz w:val="24"/>
                <w:szCs w:val="24"/>
              </w:rPr>
            </w:pPr>
            <w:r w:rsidRPr="006B5455">
              <w:rPr>
                <w:rFonts w:ascii="宋体" w:eastAsia="宋体" w:hAnsi="宋体" w:cs="宋体" w:hint="eastAsia"/>
                <w:b/>
                <w:bCs/>
                <w:kern w:val="0"/>
                <w:sz w:val="24"/>
                <w:szCs w:val="24"/>
              </w:rPr>
              <w:t>序号</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24E6920" w14:textId="77777777" w:rsidR="006B5455" w:rsidRPr="006B5455" w:rsidRDefault="006B5455" w:rsidP="006B5455">
            <w:pPr>
              <w:widowControl/>
              <w:spacing w:before="100" w:beforeAutospacing="1" w:after="100" w:afterAutospacing="1"/>
              <w:jc w:val="center"/>
              <w:rPr>
                <w:rFonts w:ascii="宋体" w:eastAsia="宋体" w:hAnsi="宋体" w:cs="宋体"/>
                <w:kern w:val="0"/>
                <w:sz w:val="24"/>
                <w:szCs w:val="24"/>
              </w:rPr>
            </w:pPr>
            <w:r w:rsidRPr="006B5455">
              <w:rPr>
                <w:rFonts w:ascii="宋体" w:eastAsia="宋体" w:hAnsi="宋体" w:cs="宋体" w:hint="eastAsia"/>
                <w:b/>
                <w:bCs/>
                <w:kern w:val="0"/>
                <w:sz w:val="24"/>
                <w:szCs w:val="24"/>
              </w:rPr>
              <w:t>申报人</w:t>
            </w:r>
          </w:p>
        </w:tc>
        <w:tc>
          <w:tcPr>
            <w:tcW w:w="8590" w:type="dxa"/>
            <w:tcBorders>
              <w:top w:val="single" w:sz="6" w:space="0" w:color="000000"/>
              <w:left w:val="nil"/>
              <w:bottom w:val="single" w:sz="6" w:space="0" w:color="000000"/>
              <w:right w:val="single" w:sz="6" w:space="0" w:color="auto"/>
            </w:tcBorders>
            <w:tcMar>
              <w:top w:w="0" w:type="dxa"/>
              <w:left w:w="105" w:type="dxa"/>
              <w:bottom w:w="0" w:type="dxa"/>
              <w:right w:w="105" w:type="dxa"/>
            </w:tcMar>
            <w:vAlign w:val="center"/>
            <w:hideMark/>
          </w:tcPr>
          <w:p w14:paraId="2523C260" w14:textId="77777777" w:rsidR="006B5455" w:rsidRPr="006B5455" w:rsidRDefault="006B5455" w:rsidP="006B5455">
            <w:pPr>
              <w:widowControl/>
              <w:spacing w:before="100" w:beforeAutospacing="1" w:after="100" w:afterAutospacing="1"/>
              <w:jc w:val="center"/>
              <w:rPr>
                <w:rFonts w:ascii="宋体" w:eastAsia="宋体" w:hAnsi="宋体" w:cs="宋体"/>
                <w:kern w:val="0"/>
                <w:sz w:val="24"/>
                <w:szCs w:val="24"/>
              </w:rPr>
            </w:pPr>
            <w:r w:rsidRPr="006B5455">
              <w:rPr>
                <w:rFonts w:ascii="宋体" w:eastAsia="宋体" w:hAnsi="宋体" w:cs="宋体" w:hint="eastAsia"/>
                <w:b/>
                <w:bCs/>
                <w:kern w:val="0"/>
                <w:sz w:val="24"/>
                <w:szCs w:val="24"/>
              </w:rPr>
              <w:t>课题名称</w:t>
            </w:r>
          </w:p>
        </w:tc>
        <w:tc>
          <w:tcPr>
            <w:tcW w:w="135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7E496DE" w14:textId="77777777" w:rsidR="006B5455" w:rsidRPr="006B5455" w:rsidRDefault="006B5455" w:rsidP="006B5455">
            <w:pPr>
              <w:widowControl/>
              <w:spacing w:before="100" w:beforeAutospacing="1" w:after="100" w:afterAutospacing="1"/>
              <w:jc w:val="center"/>
              <w:rPr>
                <w:rFonts w:ascii="宋体" w:eastAsia="宋体" w:hAnsi="宋体" w:cs="宋体"/>
                <w:kern w:val="0"/>
                <w:sz w:val="24"/>
                <w:szCs w:val="24"/>
              </w:rPr>
            </w:pPr>
            <w:r w:rsidRPr="006B5455">
              <w:rPr>
                <w:rFonts w:ascii="宋体" w:eastAsia="宋体" w:hAnsi="宋体" w:cs="宋体" w:hint="eastAsia"/>
                <w:b/>
                <w:bCs/>
                <w:kern w:val="0"/>
                <w:sz w:val="24"/>
                <w:szCs w:val="24"/>
              </w:rPr>
              <w:t>项目编号</w:t>
            </w:r>
          </w:p>
        </w:tc>
      </w:tr>
      <w:tr w:rsidR="006B5455" w:rsidRPr="006B5455" w14:paraId="113D8E7A"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15F05207"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3F879F00"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吕</w:t>
            </w:r>
            <w:proofErr w:type="gramEnd"/>
            <w:r w:rsidRPr="006B5455">
              <w:rPr>
                <w:rFonts w:ascii="宋体" w:eastAsia="宋体" w:hAnsi="宋体" w:cs="宋体" w:hint="eastAsia"/>
                <w:kern w:val="0"/>
                <w:sz w:val="24"/>
                <w:szCs w:val="24"/>
              </w:rPr>
              <w:t>甜甜</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EB8F47"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微媒体</w:t>
            </w:r>
            <w:proofErr w:type="gramEnd"/>
            <w:r w:rsidRPr="006B5455">
              <w:rPr>
                <w:rFonts w:ascii="宋体" w:eastAsia="宋体" w:hAnsi="宋体" w:cs="宋体" w:hint="eastAsia"/>
                <w:kern w:val="0"/>
                <w:sz w:val="24"/>
                <w:szCs w:val="24"/>
              </w:rPr>
              <w:t>平台下学校党建宣传工作实践性研究——以徐州开放大学为例</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7E46D2F"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21xou-01</w:t>
            </w:r>
          </w:p>
        </w:tc>
      </w:tr>
      <w:tr w:rsidR="006B5455" w:rsidRPr="006B5455" w14:paraId="7CD2ACE9"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018F8F1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2</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B71956F" w14:textId="766AFB8E"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彭</w:t>
            </w:r>
            <w:proofErr w:type="gramEnd"/>
            <w:r w:rsidR="00002CF6">
              <w:rPr>
                <w:rFonts w:ascii="宋体" w:eastAsia="宋体" w:hAnsi="宋体" w:cs="宋体" w:hint="eastAsia"/>
                <w:kern w:val="0"/>
                <w:sz w:val="24"/>
                <w:szCs w:val="24"/>
              </w:rPr>
              <w:t xml:space="preserve"> </w:t>
            </w:r>
            <w:r w:rsidR="00002CF6">
              <w:rPr>
                <w:rFonts w:ascii="宋体" w:eastAsia="宋体" w:hAnsi="宋体" w:cs="宋体"/>
                <w:kern w:val="0"/>
                <w:sz w:val="24"/>
                <w:szCs w:val="24"/>
              </w:rPr>
              <w:t xml:space="preserve"> </w:t>
            </w:r>
            <w:proofErr w:type="gramStart"/>
            <w:r w:rsidRPr="006B5455">
              <w:rPr>
                <w:rFonts w:ascii="宋体" w:eastAsia="宋体" w:hAnsi="宋体" w:cs="宋体" w:hint="eastAsia"/>
                <w:kern w:val="0"/>
                <w:sz w:val="24"/>
                <w:szCs w:val="24"/>
              </w:rPr>
              <w:t>琰</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7EBDFB"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徐州开放大学基层党支部标准化建设的路径探索</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C4B38E6"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21xou-02</w:t>
            </w:r>
          </w:p>
        </w:tc>
      </w:tr>
      <w:tr w:rsidR="006B5455" w:rsidRPr="006B5455" w14:paraId="36818C51"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3940734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3</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8938F1C"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孙海东</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E60BF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高校图书馆新媒体服务创新研究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7663163"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21xou-03</w:t>
            </w:r>
          </w:p>
        </w:tc>
      </w:tr>
      <w:tr w:rsidR="006B5455" w:rsidRPr="006B5455" w14:paraId="1797E15A"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22F0C1BD"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4</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9453FFD"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夏媛圆</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B4759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理工类中等职业学校的地方传统文化人文教育实践研究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6103A42"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21xou-04</w:t>
            </w:r>
          </w:p>
        </w:tc>
      </w:tr>
      <w:tr w:rsidR="006B5455" w:rsidRPr="006B5455" w14:paraId="300BFDAD"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38ACF856"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5</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5EBFCF63"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石映红</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83E220"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徐州市社区居家养老康复服务现状及对老年康复人才需求的调查研究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186EBAD"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21xou-05</w:t>
            </w:r>
          </w:p>
        </w:tc>
      </w:tr>
      <w:tr w:rsidR="006B5455" w:rsidRPr="006B5455" w14:paraId="7DFDD4F8"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70FA7AB"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6</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EA03DF4"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石溪</w:t>
            </w:r>
            <w:proofErr w:type="gramStart"/>
            <w:r w:rsidRPr="006B5455">
              <w:rPr>
                <w:rFonts w:ascii="宋体" w:eastAsia="宋体" w:hAnsi="宋体" w:cs="宋体" w:hint="eastAsia"/>
                <w:kern w:val="0"/>
                <w:sz w:val="24"/>
                <w:szCs w:val="24"/>
              </w:rPr>
              <w:t>溪</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7567F3"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徐州市养老护理员职业发展的制约因素及对策研究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1721927F"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21xou-06</w:t>
            </w:r>
          </w:p>
        </w:tc>
      </w:tr>
      <w:tr w:rsidR="006B5455" w:rsidRPr="006B5455" w14:paraId="0956D732"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0DE02F33"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7</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C7F69CD" w14:textId="484BAB8F"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陆</w:t>
            </w:r>
            <w:r w:rsidR="00002CF6">
              <w:rPr>
                <w:rFonts w:ascii="宋体" w:eastAsia="宋体" w:hAnsi="宋体" w:cs="宋体" w:hint="eastAsia"/>
                <w:kern w:val="0"/>
                <w:sz w:val="24"/>
                <w:szCs w:val="24"/>
              </w:rPr>
              <w:t xml:space="preserve"> </w:t>
            </w:r>
            <w:r w:rsidR="00002CF6">
              <w:rPr>
                <w:rFonts w:ascii="宋体" w:eastAsia="宋体" w:hAnsi="宋体" w:cs="宋体"/>
                <w:kern w:val="0"/>
                <w:sz w:val="24"/>
                <w:szCs w:val="24"/>
              </w:rPr>
              <w:t xml:space="preserve"> </w:t>
            </w:r>
            <w:r w:rsidRPr="006B5455">
              <w:rPr>
                <w:rFonts w:ascii="宋体" w:eastAsia="宋体" w:hAnsi="宋体" w:cs="宋体" w:hint="eastAsia"/>
                <w:kern w:val="0"/>
                <w:sz w:val="24"/>
                <w:szCs w:val="24"/>
              </w:rPr>
              <w:t>洁</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0AD91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基于“以赛促学”老年照护课程内容改革实践与探索</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E37AF90"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21xou-07</w:t>
            </w:r>
          </w:p>
        </w:tc>
      </w:tr>
      <w:tr w:rsidR="006B5455" w:rsidRPr="006B5455" w14:paraId="37904E81"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638A4F43"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8</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C0F9CB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颛</w:t>
            </w:r>
            <w:proofErr w:type="gramEnd"/>
            <w:r w:rsidRPr="006B5455">
              <w:rPr>
                <w:rFonts w:ascii="宋体" w:eastAsia="宋体" w:hAnsi="宋体" w:cs="宋体" w:hint="eastAsia"/>
                <w:kern w:val="0"/>
                <w:sz w:val="24"/>
                <w:szCs w:val="24"/>
              </w:rPr>
              <w:t>孙雯</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FC47D1"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基于中职学生个性发展的班级文化建设研究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225BD1E7"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21xou-08</w:t>
            </w:r>
          </w:p>
        </w:tc>
      </w:tr>
      <w:tr w:rsidR="006B5455" w:rsidRPr="006B5455" w14:paraId="17401565"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36207E8F"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9</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17A409AC"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孙健翔</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B13B72C"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高职院校汽车专业</w:t>
            </w:r>
            <w:proofErr w:type="gramStart"/>
            <w:r w:rsidRPr="006B5455">
              <w:rPr>
                <w:rFonts w:ascii="宋体" w:eastAsia="宋体" w:hAnsi="宋体" w:cs="宋体" w:hint="eastAsia"/>
                <w:kern w:val="0"/>
                <w:sz w:val="24"/>
                <w:szCs w:val="24"/>
              </w:rPr>
              <w:t>课程思政的</w:t>
            </w:r>
            <w:proofErr w:type="gramEnd"/>
            <w:r w:rsidRPr="006B5455">
              <w:rPr>
                <w:rFonts w:ascii="宋体" w:eastAsia="宋体" w:hAnsi="宋体" w:cs="宋体" w:hint="eastAsia"/>
                <w:kern w:val="0"/>
                <w:sz w:val="24"/>
                <w:szCs w:val="24"/>
              </w:rPr>
              <w:t>教学方法研究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E66C27E"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21xou-09</w:t>
            </w:r>
          </w:p>
        </w:tc>
      </w:tr>
      <w:tr w:rsidR="006B5455" w:rsidRPr="006B5455" w14:paraId="3D1E81A9"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10819152"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10</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55B0B128"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韩素华</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89387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低压电器项目教学设计与实践研究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9487E36"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21xou-10</w:t>
            </w:r>
          </w:p>
        </w:tc>
      </w:tr>
      <w:tr w:rsidR="006B5455" w:rsidRPr="006B5455" w14:paraId="593C1192"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660F208"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11</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031FB3D"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晏素芹</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80474C"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课程思政视域</w:t>
            </w:r>
            <w:proofErr w:type="gramEnd"/>
            <w:r w:rsidRPr="006B5455">
              <w:rPr>
                <w:rFonts w:ascii="宋体" w:eastAsia="宋体" w:hAnsi="宋体" w:cs="宋体" w:hint="eastAsia"/>
                <w:kern w:val="0"/>
                <w:sz w:val="24"/>
                <w:szCs w:val="24"/>
              </w:rPr>
              <w:t>下高职院校《</w:t>
            </w:r>
            <w:r w:rsidRPr="006B5455">
              <w:rPr>
                <w:rFonts w:ascii="宋体" w:eastAsia="宋体" w:hAnsi="宋体" w:cs="宋体"/>
                <w:kern w:val="0"/>
                <w:sz w:val="24"/>
                <w:szCs w:val="24"/>
              </w:rPr>
              <w:t>C</w:t>
            </w:r>
            <w:r w:rsidRPr="006B5455">
              <w:rPr>
                <w:rFonts w:ascii="宋体" w:eastAsia="宋体" w:hAnsi="宋体" w:cs="宋体" w:hint="eastAsia"/>
                <w:kern w:val="0"/>
                <w:sz w:val="24"/>
                <w:szCs w:val="24"/>
              </w:rPr>
              <w:t>语言程序设计》课程教学改革研究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C3C1D47"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21xou-11</w:t>
            </w:r>
          </w:p>
        </w:tc>
      </w:tr>
      <w:tr w:rsidR="006B5455" w:rsidRPr="006B5455" w14:paraId="03DC10B2"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707AF3B7"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12</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37E49FF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杨熙超</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DA1442"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高职英语课程</w:t>
            </w:r>
            <w:proofErr w:type="gramStart"/>
            <w:r w:rsidRPr="006B5455">
              <w:rPr>
                <w:rFonts w:ascii="宋体" w:eastAsia="宋体" w:hAnsi="宋体" w:cs="宋体" w:hint="eastAsia"/>
                <w:kern w:val="0"/>
                <w:sz w:val="24"/>
                <w:szCs w:val="24"/>
              </w:rPr>
              <w:t>思政教学</w:t>
            </w:r>
            <w:proofErr w:type="gramEnd"/>
            <w:r w:rsidRPr="006B5455">
              <w:rPr>
                <w:rFonts w:ascii="宋体" w:eastAsia="宋体" w:hAnsi="宋体" w:cs="宋体" w:hint="eastAsia"/>
                <w:kern w:val="0"/>
                <w:sz w:val="24"/>
                <w:szCs w:val="24"/>
              </w:rPr>
              <w:t>方法研究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1480B08"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21xou-12</w:t>
            </w:r>
          </w:p>
        </w:tc>
      </w:tr>
      <w:tr w:rsidR="006B5455" w:rsidRPr="006B5455" w14:paraId="2DE258A8"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2C792786"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13</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3EEE159F"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孔小满</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EC05BB6" w14:textId="38D35BF2" w:rsidR="006B5455" w:rsidRPr="006B5455" w:rsidRDefault="00002CF6" w:rsidP="006B545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w:t>
            </w:r>
            <w:bookmarkStart w:id="0" w:name="_GoBack"/>
            <w:bookmarkEnd w:id="0"/>
            <w:r w:rsidR="006B5455" w:rsidRPr="006B5455">
              <w:rPr>
                <w:rFonts w:ascii="宋体" w:eastAsia="宋体" w:hAnsi="宋体" w:cs="宋体" w:hint="eastAsia"/>
                <w:kern w:val="0"/>
                <w:sz w:val="24"/>
                <w:szCs w:val="24"/>
              </w:rPr>
              <w:t>四新”时代背景下优秀文化资源融入职业教育艺术课程思政的实践研究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48B44FC"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21xou-13</w:t>
            </w:r>
          </w:p>
        </w:tc>
      </w:tr>
      <w:tr w:rsidR="006B5455" w:rsidRPr="006B5455" w14:paraId="6EAF5B94"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F6FE817"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14</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327A9FF"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肖天</w:t>
            </w:r>
            <w:proofErr w:type="gramStart"/>
            <w:r w:rsidRPr="006B5455">
              <w:rPr>
                <w:rFonts w:ascii="宋体" w:eastAsia="宋体" w:hAnsi="宋体" w:cs="宋体" w:hint="eastAsia"/>
                <w:kern w:val="0"/>
                <w:sz w:val="24"/>
                <w:szCs w:val="24"/>
              </w:rPr>
              <w:t>一</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B18E35"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基于</w:t>
            </w:r>
            <w:r w:rsidRPr="006B5455">
              <w:rPr>
                <w:rFonts w:ascii="宋体" w:eastAsia="宋体" w:hAnsi="宋体" w:cs="宋体"/>
                <w:kern w:val="0"/>
                <w:sz w:val="24"/>
                <w:szCs w:val="24"/>
              </w:rPr>
              <w:t>BIM</w:t>
            </w:r>
            <w:r w:rsidRPr="006B5455">
              <w:rPr>
                <w:rFonts w:ascii="宋体" w:eastAsia="宋体" w:hAnsi="宋体" w:cs="宋体" w:hint="eastAsia"/>
                <w:kern w:val="0"/>
                <w:sz w:val="24"/>
                <w:szCs w:val="24"/>
              </w:rPr>
              <w:t>建模协会社团活动对职业教育对课堂教学的促进研究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4DA93050"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21xou-14</w:t>
            </w:r>
          </w:p>
        </w:tc>
      </w:tr>
      <w:tr w:rsidR="006B5455" w:rsidRPr="006B5455" w14:paraId="7A92BF2E"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85939E5"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15</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20EED37" w14:textId="441601E8"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章</w:t>
            </w:r>
            <w:r w:rsidR="00002CF6">
              <w:rPr>
                <w:rFonts w:ascii="宋体" w:eastAsia="宋体" w:hAnsi="宋体" w:cs="宋体" w:hint="eastAsia"/>
                <w:kern w:val="0"/>
                <w:sz w:val="24"/>
                <w:szCs w:val="24"/>
              </w:rPr>
              <w:t xml:space="preserve"> </w:t>
            </w:r>
            <w:r w:rsidR="00002CF6">
              <w:rPr>
                <w:rFonts w:ascii="宋体" w:eastAsia="宋体" w:hAnsi="宋体" w:cs="宋体"/>
                <w:kern w:val="0"/>
                <w:sz w:val="24"/>
                <w:szCs w:val="24"/>
              </w:rPr>
              <w:t xml:space="preserve"> </w:t>
            </w:r>
            <w:r w:rsidRPr="006B5455">
              <w:rPr>
                <w:rFonts w:ascii="宋体" w:eastAsia="宋体" w:hAnsi="宋体" w:cs="宋体" w:hint="eastAsia"/>
                <w:kern w:val="0"/>
                <w:sz w:val="24"/>
                <w:szCs w:val="24"/>
              </w:rPr>
              <w:t>冀</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AF4DD1"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“翻转课堂”在高职</w:t>
            </w:r>
            <w:proofErr w:type="gramStart"/>
            <w:r w:rsidRPr="006B5455">
              <w:rPr>
                <w:rFonts w:ascii="宋体" w:eastAsia="宋体" w:hAnsi="宋体" w:cs="宋体" w:hint="eastAsia"/>
                <w:kern w:val="0"/>
                <w:sz w:val="24"/>
                <w:szCs w:val="24"/>
              </w:rPr>
              <w:t>课程思政中</w:t>
            </w:r>
            <w:proofErr w:type="gramEnd"/>
            <w:r w:rsidRPr="006B5455">
              <w:rPr>
                <w:rFonts w:ascii="宋体" w:eastAsia="宋体" w:hAnsi="宋体" w:cs="宋体" w:hint="eastAsia"/>
                <w:kern w:val="0"/>
                <w:sz w:val="24"/>
                <w:szCs w:val="24"/>
              </w:rPr>
              <w:t>的运用研究——以《国际贸易实务》课程为例</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D49280F"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21xou-15</w:t>
            </w:r>
          </w:p>
        </w:tc>
      </w:tr>
      <w:tr w:rsidR="006B5455" w:rsidRPr="006B5455" w14:paraId="57CFA4DD"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6ABD521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16</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C039C2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杜艳卿</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8AE69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w:t>
            </w:r>
            <w:r w:rsidRPr="006B5455">
              <w:rPr>
                <w:rFonts w:ascii="宋体" w:eastAsia="宋体" w:hAnsi="宋体" w:cs="宋体"/>
                <w:kern w:val="0"/>
                <w:sz w:val="24"/>
                <w:szCs w:val="24"/>
              </w:rPr>
              <w:t>1+X</w:t>
            </w:r>
            <w:r w:rsidRPr="006B5455">
              <w:rPr>
                <w:rFonts w:ascii="宋体" w:eastAsia="宋体" w:hAnsi="宋体" w:cs="宋体" w:hint="eastAsia"/>
                <w:kern w:val="0"/>
                <w:sz w:val="24"/>
                <w:szCs w:val="24"/>
              </w:rPr>
              <w:t>”证书制度背景下高职院校会计专业教学改革探索</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38BD78C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21xou-16</w:t>
            </w:r>
          </w:p>
        </w:tc>
      </w:tr>
      <w:tr w:rsidR="006B5455" w:rsidRPr="006B5455" w14:paraId="6B1668B2"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3F49710"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17</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954266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陆立权</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52960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体育教学对学生就业基本能力的提升策略研究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752B5D4"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21xou-17</w:t>
            </w:r>
          </w:p>
        </w:tc>
      </w:tr>
      <w:tr w:rsidR="006B5455" w:rsidRPr="006B5455" w14:paraId="10745DB7"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5BB56F8"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18</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F044DED"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韩宜晶</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2E2ACE"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课堂教学大赛与中职语文课堂教学课程体系构建与探索</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D2CF30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21xou-18</w:t>
            </w:r>
          </w:p>
        </w:tc>
      </w:tr>
      <w:tr w:rsidR="006B5455" w:rsidRPr="006B5455" w14:paraId="0E808364"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5B3BE6DB"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19</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2414544D" w14:textId="7DC4BDBA"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李</w:t>
            </w:r>
            <w:r w:rsidR="00002CF6">
              <w:rPr>
                <w:rFonts w:ascii="宋体" w:eastAsia="宋体" w:hAnsi="宋体" w:cs="宋体" w:hint="eastAsia"/>
                <w:kern w:val="0"/>
                <w:sz w:val="24"/>
                <w:szCs w:val="24"/>
              </w:rPr>
              <w:t xml:space="preserve"> </w:t>
            </w:r>
            <w:r w:rsidR="00002CF6">
              <w:rPr>
                <w:rFonts w:ascii="宋体" w:eastAsia="宋体" w:hAnsi="宋体" w:cs="宋体"/>
                <w:kern w:val="0"/>
                <w:sz w:val="24"/>
                <w:szCs w:val="24"/>
              </w:rPr>
              <w:t xml:space="preserve"> </w:t>
            </w:r>
            <w:r w:rsidRPr="006B5455">
              <w:rPr>
                <w:rFonts w:ascii="宋体" w:eastAsia="宋体" w:hAnsi="宋体" w:cs="宋体" w:hint="eastAsia"/>
                <w:kern w:val="0"/>
                <w:sz w:val="24"/>
                <w:szCs w:val="24"/>
              </w:rPr>
              <w:t>斯</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F2C14D"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基于网络教学平台的网络化教学模式的构建与研究</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DEE6AB6"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21xou-19</w:t>
            </w:r>
          </w:p>
        </w:tc>
      </w:tr>
      <w:tr w:rsidR="006B5455" w:rsidRPr="006B5455" w14:paraId="163398E3"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hideMark/>
          </w:tcPr>
          <w:p w14:paraId="733D3A70"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楷体_GB2312" w:eastAsia="楷体_GB2312" w:hAnsi="宋体" w:cs="宋体" w:hint="eastAsia"/>
                <w:kern w:val="0"/>
                <w:sz w:val="24"/>
                <w:szCs w:val="24"/>
              </w:rPr>
              <w:t>20</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EF7D3DA"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sidRPr="006B5455">
              <w:rPr>
                <w:rFonts w:ascii="宋体" w:eastAsia="宋体" w:hAnsi="宋体" w:cs="宋体" w:hint="eastAsia"/>
                <w:kern w:val="0"/>
                <w:sz w:val="24"/>
                <w:szCs w:val="24"/>
              </w:rPr>
              <w:t>禹万林</w:t>
            </w:r>
            <w:proofErr w:type="gramEnd"/>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86FABB"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退役军人“学历</w:t>
            </w:r>
            <w:r w:rsidRPr="006B5455">
              <w:rPr>
                <w:rFonts w:ascii="宋体" w:eastAsia="宋体" w:hAnsi="宋体" w:cs="宋体"/>
                <w:kern w:val="0"/>
                <w:sz w:val="24"/>
                <w:szCs w:val="24"/>
              </w:rPr>
              <w:t>+</w:t>
            </w:r>
            <w:r w:rsidRPr="006B5455">
              <w:rPr>
                <w:rFonts w:ascii="宋体" w:eastAsia="宋体" w:hAnsi="宋体" w:cs="宋体" w:hint="eastAsia"/>
                <w:kern w:val="0"/>
                <w:sz w:val="24"/>
                <w:szCs w:val="24"/>
              </w:rPr>
              <w:t>技能”培养模式研究与实践—以徐州开放大学机电专业为例</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594DBC09" w14:textId="77777777"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21xou-20</w:t>
            </w:r>
          </w:p>
        </w:tc>
      </w:tr>
      <w:tr w:rsidR="006B5455" w:rsidRPr="006B5455" w14:paraId="6CC54ED2"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tcPr>
          <w:p w14:paraId="30338731" w14:textId="70EDFE27" w:rsidR="006B5455" w:rsidRPr="006B5455" w:rsidRDefault="006B5455" w:rsidP="006B5455">
            <w:pPr>
              <w:widowControl/>
              <w:spacing w:before="100" w:beforeAutospacing="1" w:after="100" w:afterAutospacing="1"/>
              <w:jc w:val="left"/>
              <w:rPr>
                <w:rFonts w:ascii="楷体_GB2312" w:eastAsia="楷体_GB2312" w:hAnsi="宋体" w:cs="宋体"/>
                <w:kern w:val="0"/>
                <w:sz w:val="24"/>
                <w:szCs w:val="24"/>
              </w:rPr>
            </w:pPr>
            <w:r w:rsidRPr="006B5455">
              <w:rPr>
                <w:rFonts w:ascii="楷体_GB2312" w:eastAsia="楷体_GB2312" w:hAnsi="宋体" w:cs="宋体" w:hint="eastAsia"/>
                <w:kern w:val="0"/>
                <w:sz w:val="24"/>
                <w:szCs w:val="24"/>
              </w:rPr>
              <w:t>21</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tcPr>
          <w:p w14:paraId="43D6324D" w14:textId="0AB4B5FA"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高</w:t>
            </w:r>
            <w:r w:rsidR="00002CF6">
              <w:rPr>
                <w:rFonts w:ascii="宋体" w:eastAsia="宋体" w:hAnsi="宋体" w:cs="宋体" w:hint="eastAsia"/>
                <w:kern w:val="0"/>
                <w:sz w:val="24"/>
                <w:szCs w:val="24"/>
              </w:rPr>
              <w:t xml:space="preserve"> </w:t>
            </w:r>
            <w:r w:rsidR="00002CF6">
              <w:rPr>
                <w:rFonts w:ascii="宋体" w:eastAsia="宋体" w:hAnsi="宋体" w:cs="宋体"/>
                <w:kern w:val="0"/>
                <w:sz w:val="24"/>
                <w:szCs w:val="24"/>
              </w:rPr>
              <w:t xml:space="preserve"> </w:t>
            </w:r>
            <w:r w:rsidRPr="006B5455">
              <w:rPr>
                <w:rFonts w:ascii="宋体" w:eastAsia="宋体" w:hAnsi="宋体" w:cs="宋体" w:hint="eastAsia"/>
                <w:kern w:val="0"/>
                <w:sz w:val="24"/>
                <w:szCs w:val="24"/>
              </w:rPr>
              <w:t>明</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tcPr>
          <w:p w14:paraId="0B54831A" w14:textId="1E68D40E"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基于</w:t>
            </w:r>
            <w:r w:rsidRPr="006B5455">
              <w:rPr>
                <w:rFonts w:ascii="宋体" w:eastAsia="宋体" w:hAnsi="宋体" w:cs="宋体"/>
                <w:kern w:val="0"/>
                <w:sz w:val="24"/>
                <w:szCs w:val="24"/>
              </w:rPr>
              <w:t>VBA</w:t>
            </w:r>
            <w:r w:rsidRPr="006B5455">
              <w:rPr>
                <w:rFonts w:ascii="宋体" w:eastAsia="宋体" w:hAnsi="宋体" w:cs="宋体" w:hint="eastAsia"/>
                <w:kern w:val="0"/>
                <w:sz w:val="24"/>
                <w:szCs w:val="24"/>
              </w:rPr>
              <w:t>的江开考试编排系统设计</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tcPr>
          <w:p w14:paraId="443628BA" w14:textId="369BF26E"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21xou-21</w:t>
            </w:r>
          </w:p>
        </w:tc>
      </w:tr>
      <w:tr w:rsidR="006B5455" w:rsidRPr="006B5455" w14:paraId="06D319C0" w14:textId="77777777" w:rsidTr="006B5455">
        <w:trPr>
          <w:tblCellSpacing w:w="15" w:type="dxa"/>
          <w:jc w:val="center"/>
        </w:trPr>
        <w:tc>
          <w:tcPr>
            <w:tcW w:w="0" w:type="auto"/>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tcPr>
          <w:p w14:paraId="547CFA5B" w14:textId="1B966A11"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2</w:t>
            </w:r>
          </w:p>
        </w:tc>
        <w:tc>
          <w:tcPr>
            <w:tcW w:w="0" w:type="auto"/>
            <w:tcBorders>
              <w:top w:val="nil"/>
              <w:left w:val="nil"/>
              <w:bottom w:val="single" w:sz="6" w:space="0" w:color="auto"/>
              <w:right w:val="single" w:sz="6" w:space="0" w:color="000000"/>
            </w:tcBorders>
            <w:tcMar>
              <w:top w:w="0" w:type="dxa"/>
              <w:left w:w="105" w:type="dxa"/>
              <w:bottom w:w="0" w:type="dxa"/>
              <w:right w:w="105" w:type="dxa"/>
            </w:tcMar>
            <w:vAlign w:val="center"/>
          </w:tcPr>
          <w:p w14:paraId="599D503F" w14:textId="496167AE"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proofErr w:type="gramStart"/>
            <w:r>
              <w:rPr>
                <w:rFonts w:ascii="宋体" w:eastAsia="宋体" w:hAnsi="宋体" w:cs="宋体" w:hint="eastAsia"/>
                <w:kern w:val="0"/>
                <w:sz w:val="24"/>
                <w:szCs w:val="24"/>
              </w:rPr>
              <w:t>闫</w:t>
            </w:r>
            <w:proofErr w:type="gramEnd"/>
            <w:r w:rsidR="00002CF6">
              <w:rPr>
                <w:rFonts w:ascii="宋体" w:eastAsia="宋体" w:hAnsi="宋体" w:cs="宋体" w:hint="eastAsia"/>
                <w:kern w:val="0"/>
                <w:sz w:val="24"/>
                <w:szCs w:val="24"/>
              </w:rPr>
              <w:t xml:space="preserve"> </w:t>
            </w:r>
            <w:r w:rsidR="00002CF6">
              <w:rPr>
                <w:rFonts w:ascii="宋体" w:eastAsia="宋体" w:hAnsi="宋体" w:cs="宋体"/>
                <w:kern w:val="0"/>
                <w:sz w:val="24"/>
                <w:szCs w:val="24"/>
              </w:rPr>
              <w:t xml:space="preserve"> </w:t>
            </w:r>
            <w:r>
              <w:rPr>
                <w:rFonts w:ascii="宋体" w:eastAsia="宋体" w:hAnsi="宋体" w:cs="宋体" w:hint="eastAsia"/>
                <w:kern w:val="0"/>
                <w:sz w:val="24"/>
                <w:szCs w:val="24"/>
              </w:rPr>
              <w:t>军</w:t>
            </w:r>
          </w:p>
        </w:tc>
        <w:tc>
          <w:tcPr>
            <w:tcW w:w="8590" w:type="dxa"/>
            <w:tcBorders>
              <w:top w:val="nil"/>
              <w:left w:val="nil"/>
              <w:bottom w:val="single" w:sz="6" w:space="0" w:color="auto"/>
              <w:right w:val="single" w:sz="6" w:space="0" w:color="auto"/>
            </w:tcBorders>
            <w:tcMar>
              <w:top w:w="0" w:type="dxa"/>
              <w:left w:w="105" w:type="dxa"/>
              <w:bottom w:w="0" w:type="dxa"/>
              <w:right w:w="105" w:type="dxa"/>
            </w:tcMar>
            <w:vAlign w:val="center"/>
          </w:tcPr>
          <w:p w14:paraId="031C5CE7" w14:textId="74EFD226"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职业教育发展政策</w:t>
            </w:r>
            <w:r>
              <w:rPr>
                <w:rFonts w:ascii="宋体" w:eastAsia="宋体" w:hAnsi="宋体" w:cs="宋体" w:hint="eastAsia"/>
                <w:kern w:val="0"/>
                <w:sz w:val="24"/>
                <w:szCs w:val="24"/>
              </w:rPr>
              <w:t>研究</w:t>
            </w:r>
            <w:r w:rsidRPr="006B5455">
              <w:rPr>
                <w:rFonts w:ascii="宋体" w:eastAsia="宋体" w:hAnsi="宋体" w:cs="宋体"/>
                <w:kern w:val="0"/>
                <w:sz w:val="24"/>
                <w:szCs w:val="24"/>
              </w:rPr>
              <w:t xml:space="preserve"> </w:t>
            </w:r>
          </w:p>
        </w:tc>
        <w:tc>
          <w:tcPr>
            <w:tcW w:w="1355" w:type="dxa"/>
            <w:tcBorders>
              <w:top w:val="nil"/>
              <w:left w:val="nil"/>
              <w:bottom w:val="single" w:sz="6" w:space="0" w:color="auto"/>
              <w:right w:val="single" w:sz="6" w:space="0" w:color="000000"/>
            </w:tcBorders>
            <w:tcMar>
              <w:top w:w="0" w:type="dxa"/>
              <w:left w:w="105" w:type="dxa"/>
              <w:bottom w:w="0" w:type="dxa"/>
              <w:right w:w="105" w:type="dxa"/>
            </w:tcMar>
            <w:vAlign w:val="center"/>
          </w:tcPr>
          <w:p w14:paraId="7224BF7D" w14:textId="491DA773" w:rsidR="006B5455" w:rsidRPr="006B5455" w:rsidRDefault="006B5455" w:rsidP="006B5455">
            <w:pPr>
              <w:widowControl/>
              <w:spacing w:before="100" w:beforeAutospacing="1" w:after="100" w:afterAutospacing="1"/>
              <w:jc w:val="left"/>
              <w:rPr>
                <w:rFonts w:ascii="宋体" w:eastAsia="宋体" w:hAnsi="宋体" w:cs="宋体"/>
                <w:kern w:val="0"/>
                <w:sz w:val="24"/>
                <w:szCs w:val="24"/>
              </w:rPr>
            </w:pPr>
            <w:r w:rsidRPr="006B5455">
              <w:rPr>
                <w:rFonts w:ascii="宋体" w:eastAsia="宋体" w:hAnsi="宋体" w:cs="宋体" w:hint="eastAsia"/>
                <w:kern w:val="0"/>
                <w:sz w:val="24"/>
                <w:szCs w:val="24"/>
              </w:rPr>
              <w:t>21xou-2</w:t>
            </w:r>
            <w:r>
              <w:rPr>
                <w:rFonts w:ascii="宋体" w:eastAsia="宋体" w:hAnsi="宋体" w:cs="宋体"/>
                <w:kern w:val="0"/>
                <w:sz w:val="24"/>
                <w:szCs w:val="24"/>
              </w:rPr>
              <w:t>2</w:t>
            </w:r>
          </w:p>
        </w:tc>
      </w:tr>
    </w:tbl>
    <w:p w14:paraId="1739346C" w14:textId="51B44038" w:rsidR="00075EEF" w:rsidRDefault="006B5455" w:rsidP="004A2398">
      <w:pPr>
        <w:widowControl/>
        <w:spacing w:before="100" w:beforeAutospacing="1" w:after="100" w:afterAutospacing="1"/>
        <w:jc w:val="left"/>
      </w:pPr>
      <w:r w:rsidRPr="006B5455">
        <w:rPr>
          <w:rFonts w:ascii="宋体" w:eastAsia="宋体" w:hAnsi="宋体" w:cs="宋体" w:hint="eastAsia"/>
          <w:color w:val="000000"/>
          <w:kern w:val="0"/>
          <w:sz w:val="29"/>
          <w:szCs w:val="29"/>
        </w:rPr>
        <w:t>    </w:t>
      </w:r>
    </w:p>
    <w:sectPr w:rsidR="00075EEF" w:rsidSect="004A2398">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38BA" w14:textId="77777777" w:rsidR="00490AF9" w:rsidRDefault="00490AF9" w:rsidP="006B5455">
      <w:r>
        <w:separator/>
      </w:r>
    </w:p>
  </w:endnote>
  <w:endnote w:type="continuationSeparator" w:id="0">
    <w:p w14:paraId="51BBAA56" w14:textId="77777777" w:rsidR="00490AF9" w:rsidRDefault="00490AF9" w:rsidP="006B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1897A" w14:textId="77777777" w:rsidR="00490AF9" w:rsidRDefault="00490AF9" w:rsidP="006B5455">
      <w:r>
        <w:separator/>
      </w:r>
    </w:p>
  </w:footnote>
  <w:footnote w:type="continuationSeparator" w:id="0">
    <w:p w14:paraId="698C93BE" w14:textId="77777777" w:rsidR="00490AF9" w:rsidRDefault="00490AF9" w:rsidP="006B5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65"/>
    <w:rsid w:val="00002CF6"/>
    <w:rsid w:val="00020020"/>
    <w:rsid w:val="00075EEF"/>
    <w:rsid w:val="00490AF9"/>
    <w:rsid w:val="004A2398"/>
    <w:rsid w:val="005031E0"/>
    <w:rsid w:val="006B5455"/>
    <w:rsid w:val="007F1BC6"/>
    <w:rsid w:val="009C0265"/>
    <w:rsid w:val="00FC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03B88"/>
  <w15:chartTrackingRefBased/>
  <w15:docId w15:val="{2CC28382-8C18-4365-A0EB-A26CD944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4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5455"/>
    <w:rPr>
      <w:sz w:val="18"/>
      <w:szCs w:val="18"/>
    </w:rPr>
  </w:style>
  <w:style w:type="paragraph" w:styleId="a5">
    <w:name w:val="footer"/>
    <w:basedOn w:val="a"/>
    <w:link w:val="a6"/>
    <w:uiPriority w:val="99"/>
    <w:unhideWhenUsed/>
    <w:rsid w:val="006B5455"/>
    <w:pPr>
      <w:tabs>
        <w:tab w:val="center" w:pos="4153"/>
        <w:tab w:val="right" w:pos="8306"/>
      </w:tabs>
      <w:snapToGrid w:val="0"/>
      <w:jc w:val="left"/>
    </w:pPr>
    <w:rPr>
      <w:sz w:val="18"/>
      <w:szCs w:val="18"/>
    </w:rPr>
  </w:style>
  <w:style w:type="character" w:customStyle="1" w:styleId="a6">
    <w:name w:val="页脚 字符"/>
    <w:basedOn w:val="a0"/>
    <w:link w:val="a5"/>
    <w:uiPriority w:val="99"/>
    <w:rsid w:val="006B54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62080">
      <w:bodyDiv w:val="1"/>
      <w:marLeft w:val="0"/>
      <w:marRight w:val="0"/>
      <w:marTop w:val="0"/>
      <w:marBottom w:val="0"/>
      <w:divBdr>
        <w:top w:val="none" w:sz="0" w:space="0" w:color="auto"/>
        <w:left w:val="none" w:sz="0" w:space="0" w:color="auto"/>
        <w:bottom w:val="none" w:sz="0" w:space="0" w:color="auto"/>
        <w:right w:val="none" w:sz="0" w:space="0" w:color="auto"/>
      </w:divBdr>
      <w:divsChild>
        <w:div w:id="539825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2022-09-21T07:50:00Z</dcterms:created>
  <dcterms:modified xsi:type="dcterms:W3CDTF">2022-09-24T05:38:00Z</dcterms:modified>
</cp:coreProperties>
</file>