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33" w:rsidRDefault="00847333" w:rsidP="00847333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附件：招标产品项目名称、参数</w:t>
      </w:r>
    </w:p>
    <w:bookmarkEnd w:id="0"/>
    <w:p w:rsidR="00847333" w:rsidRDefault="00847333" w:rsidP="00847333">
      <w:pPr>
        <w:rPr>
          <w:sz w:val="28"/>
          <w:szCs w:val="28"/>
        </w:rPr>
      </w:pPr>
    </w:p>
    <w:p w:rsidR="00847333" w:rsidRPr="00DE3E88" w:rsidRDefault="00847333" w:rsidP="00847333">
      <w:pPr>
        <w:rPr>
          <w:b/>
          <w:sz w:val="28"/>
          <w:szCs w:val="28"/>
        </w:rPr>
      </w:pPr>
      <w:r w:rsidRPr="00DE3E88">
        <w:rPr>
          <w:rFonts w:hint="eastAsia"/>
          <w:b/>
          <w:sz w:val="28"/>
          <w:szCs w:val="28"/>
        </w:rPr>
        <w:t>附件</w:t>
      </w:r>
      <w:r w:rsidRPr="00DE3E88">
        <w:rPr>
          <w:b/>
          <w:sz w:val="28"/>
          <w:szCs w:val="28"/>
        </w:rPr>
        <w:t>1</w:t>
      </w:r>
      <w:r w:rsidRPr="00DE3E88">
        <w:rPr>
          <w:rFonts w:hint="eastAsia"/>
          <w:b/>
          <w:sz w:val="28"/>
          <w:szCs w:val="28"/>
        </w:rPr>
        <w:t>：招标产品名称、参数</w:t>
      </w:r>
      <w:r w:rsidRPr="00DE3E88">
        <w:rPr>
          <w:b/>
          <w:sz w:val="28"/>
          <w:szCs w:val="28"/>
        </w:rPr>
        <w:t xml:space="preserve">  </w:t>
      </w:r>
    </w:p>
    <w:p w:rsidR="00847333" w:rsidRPr="006C3A5B" w:rsidRDefault="00847333" w:rsidP="00847333">
      <w:pPr>
        <w:spacing w:line="400" w:lineRule="exact"/>
        <w:ind w:firstLineChars="200" w:firstLine="562"/>
        <w:rPr>
          <w:rFonts w:ascii="宋体"/>
          <w:b/>
          <w:sz w:val="28"/>
          <w:szCs w:val="28"/>
          <w:u w:val="single"/>
        </w:rPr>
      </w:pPr>
      <w:r w:rsidRPr="002678D0">
        <w:rPr>
          <w:rFonts w:ascii="宋体" w:hAnsi="宋体" w:hint="eastAsia"/>
          <w:b/>
          <w:sz w:val="28"/>
          <w:szCs w:val="28"/>
        </w:rPr>
        <w:t>一、</w:t>
      </w:r>
      <w:r w:rsidRPr="006C3A5B">
        <w:rPr>
          <w:rFonts w:ascii="宋体" w:hAnsi="宋体" w:hint="eastAsia"/>
          <w:b/>
          <w:sz w:val="28"/>
          <w:szCs w:val="28"/>
          <w:u w:val="single"/>
        </w:rPr>
        <w:t>常用营养食物交换模型</w:t>
      </w:r>
    </w:p>
    <w:p w:rsidR="00847333" w:rsidRDefault="00847333" w:rsidP="00847333">
      <w:pPr>
        <w:widowControl/>
        <w:spacing w:line="384" w:lineRule="atLeas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6E1AFB">
        <w:rPr>
          <w:rFonts w:ascii="宋体" w:hAnsi="宋体" w:cs="宋体" w:hint="eastAsia"/>
          <w:kern w:val="0"/>
          <w:sz w:val="24"/>
          <w:szCs w:val="24"/>
        </w:rPr>
        <w:t>食品交换份是将食物按所含的主要营养素分成</w:t>
      </w:r>
      <w:r w:rsidRPr="006E1AFB">
        <w:rPr>
          <w:rFonts w:ascii="宋体" w:hAnsi="宋体" w:cs="宋体"/>
          <w:kern w:val="0"/>
          <w:sz w:val="24"/>
          <w:szCs w:val="24"/>
        </w:rPr>
        <w:t>4</w:t>
      </w:r>
      <w:r w:rsidRPr="006E1AFB">
        <w:rPr>
          <w:rFonts w:ascii="宋体" w:hAnsi="宋体" w:cs="宋体" w:hint="eastAsia"/>
          <w:kern w:val="0"/>
          <w:sz w:val="24"/>
          <w:szCs w:val="24"/>
        </w:rPr>
        <w:t>大类，以饮食治疗中的食物交换份法为依据，按食物的大类分别挑选出常见食物，并按</w:t>
      </w:r>
      <w:r w:rsidRPr="006E1AFB">
        <w:rPr>
          <w:rFonts w:ascii="宋体" w:hAnsi="宋体" w:cs="宋体"/>
          <w:kern w:val="0"/>
          <w:sz w:val="24"/>
          <w:szCs w:val="24"/>
        </w:rPr>
        <w:t>90</w:t>
      </w:r>
      <w:r w:rsidRPr="006E1AFB">
        <w:rPr>
          <w:rFonts w:ascii="宋体" w:hAnsi="宋体" w:cs="宋体" w:hint="eastAsia"/>
          <w:kern w:val="0"/>
          <w:sz w:val="24"/>
          <w:szCs w:val="24"/>
        </w:rPr>
        <w:t>千卡的热量进行制作，规格：</w:t>
      </w:r>
      <w:r w:rsidRPr="006E1AFB">
        <w:rPr>
          <w:rFonts w:ascii="宋体" w:hAnsi="宋体" w:cs="宋体"/>
          <w:kern w:val="0"/>
          <w:sz w:val="24"/>
          <w:szCs w:val="24"/>
        </w:rPr>
        <w:t>127</w:t>
      </w:r>
      <w:r w:rsidRPr="006E1AFB">
        <w:rPr>
          <w:rFonts w:ascii="宋体" w:hAnsi="宋体" w:cs="宋体" w:hint="eastAsia"/>
          <w:kern w:val="0"/>
          <w:sz w:val="24"/>
          <w:szCs w:val="24"/>
        </w:rPr>
        <w:t>个</w:t>
      </w:r>
      <w:r w:rsidRPr="006E1AFB">
        <w:rPr>
          <w:rFonts w:ascii="宋体" w:hAnsi="宋体" w:cs="宋体"/>
          <w:kern w:val="0"/>
          <w:sz w:val="24"/>
          <w:szCs w:val="24"/>
        </w:rPr>
        <w:t>/</w:t>
      </w:r>
      <w:r w:rsidRPr="006E1AFB">
        <w:rPr>
          <w:rFonts w:ascii="宋体" w:hAnsi="宋体" w:cs="宋体" w:hint="eastAsia"/>
          <w:kern w:val="0"/>
          <w:sz w:val="24"/>
          <w:szCs w:val="24"/>
        </w:rPr>
        <w:t>套</w:t>
      </w:r>
      <w:r>
        <w:rPr>
          <w:rFonts w:ascii="宋体" w:hAnsi="宋体" w:cs="宋体"/>
          <w:kern w:val="0"/>
          <w:sz w:val="24"/>
          <w:szCs w:val="24"/>
        </w:rPr>
        <w:t xml:space="preserve">. </w:t>
      </w:r>
      <w:r w:rsidRPr="006E1AFB">
        <w:rPr>
          <w:rFonts w:ascii="宋体" w:hAnsi="宋体" w:cs="宋体" w:hint="eastAsia"/>
          <w:kern w:val="0"/>
          <w:sz w:val="24"/>
          <w:szCs w:val="24"/>
        </w:rPr>
        <w:t>材质：所有模型均由</w:t>
      </w:r>
      <w:r w:rsidRPr="006E1AFB">
        <w:rPr>
          <w:rFonts w:ascii="宋体" w:hAnsi="宋体" w:cs="宋体"/>
          <w:kern w:val="0"/>
          <w:sz w:val="24"/>
          <w:szCs w:val="24"/>
        </w:rPr>
        <w:t>PVC</w:t>
      </w:r>
      <w:r w:rsidRPr="006E1AFB">
        <w:rPr>
          <w:rFonts w:ascii="宋体" w:hAnsi="宋体" w:cs="宋体" w:hint="eastAsia"/>
          <w:kern w:val="0"/>
          <w:sz w:val="24"/>
          <w:szCs w:val="24"/>
        </w:rPr>
        <w:t>塑形而成。</w:t>
      </w:r>
    </w:p>
    <w:p w:rsidR="00847333" w:rsidRPr="006E1AFB" w:rsidRDefault="00847333" w:rsidP="00847333">
      <w:pPr>
        <w:widowControl/>
        <w:spacing w:line="384" w:lineRule="atLeas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要求</w:t>
      </w:r>
      <w:r w:rsidRPr="006E1AFB">
        <w:rPr>
          <w:rFonts w:ascii="宋体" w:hAnsi="宋体" w:cs="宋体" w:hint="eastAsia"/>
          <w:kern w:val="0"/>
          <w:sz w:val="24"/>
          <w:szCs w:val="24"/>
        </w:rPr>
        <w:t>：</w:t>
      </w:r>
      <w:r w:rsidRPr="006E1AFB">
        <w:rPr>
          <w:rFonts w:ascii="宋体" w:hAnsi="宋体" w:cs="宋体"/>
          <w:kern w:val="0"/>
          <w:sz w:val="24"/>
          <w:szCs w:val="24"/>
        </w:rPr>
        <w:t>1</w:t>
      </w:r>
      <w:r w:rsidRPr="006E1AFB">
        <w:rPr>
          <w:rFonts w:ascii="宋体" w:hAnsi="宋体" w:cs="宋体" w:hint="eastAsia"/>
          <w:kern w:val="0"/>
          <w:sz w:val="24"/>
          <w:szCs w:val="24"/>
        </w:rPr>
        <w:t>、工艺精细、仿真度高、结实耐用</w:t>
      </w:r>
      <w:r w:rsidRPr="006E1AFB">
        <w:rPr>
          <w:rFonts w:ascii="宋体" w:hAnsi="宋体" w:cs="宋体"/>
          <w:kern w:val="0"/>
          <w:sz w:val="24"/>
          <w:szCs w:val="24"/>
        </w:rPr>
        <w:t>2</w:t>
      </w:r>
      <w:r w:rsidRPr="006E1AFB">
        <w:rPr>
          <w:rFonts w:ascii="宋体" w:hAnsi="宋体" w:cs="宋体" w:hint="eastAsia"/>
          <w:kern w:val="0"/>
          <w:sz w:val="24"/>
          <w:szCs w:val="24"/>
        </w:rPr>
        <w:t>、便于对抽象的交换份概念进行理解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Pr="006E1AFB">
        <w:rPr>
          <w:rFonts w:ascii="宋体" w:hAnsi="宋体" w:cs="宋体" w:hint="eastAsia"/>
          <w:kern w:val="0"/>
          <w:sz w:val="24"/>
          <w:szCs w:val="24"/>
        </w:rPr>
        <w:t>可以在教学中将交换份的概念更直观地表现出来。</w:t>
      </w:r>
    </w:p>
    <w:p w:rsidR="00847333" w:rsidRDefault="00847333" w:rsidP="00847333">
      <w:pPr>
        <w:spacing w:line="400" w:lineRule="exact"/>
        <w:ind w:firstLineChars="200" w:firstLine="560"/>
        <w:rPr>
          <w:rFonts w:asci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二、</w:t>
      </w:r>
      <w:r w:rsidRPr="00584016">
        <w:rPr>
          <w:rFonts w:ascii="宋体" w:hAnsi="宋体" w:hint="eastAsia"/>
          <w:b/>
          <w:sz w:val="28"/>
          <w:szCs w:val="28"/>
          <w:u w:val="single"/>
        </w:rPr>
        <w:t>营养学教学软件系统</w:t>
      </w:r>
    </w:p>
    <w:p w:rsidR="00847333" w:rsidRPr="006C3A5B" w:rsidRDefault="00847333" w:rsidP="00847333">
      <w:pPr>
        <w:widowControl/>
        <w:spacing w:line="384" w:lineRule="atLeas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C3A5B">
        <w:rPr>
          <w:rFonts w:ascii="宋体" w:hAnsi="宋体" w:cs="宋体" w:hint="eastAsia"/>
          <w:kern w:val="0"/>
          <w:sz w:val="24"/>
          <w:szCs w:val="24"/>
        </w:rPr>
        <w:t>营养筛查采用国际通用的营养评价工具，全方位判断患者营养状况及程度，营养支持的适应证以及经过营养支持后的愈后情况，动态评估患者营养风险，方法全面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、规范，操作易行、实用，适用于不同年龄阶段、不同疾病人群。筛查方法能形成完整的筛查报告以供查询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、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打印与导出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47333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C3A5B">
        <w:rPr>
          <w:rFonts w:ascii="宋体" w:hAnsi="宋体" w:cs="宋体" w:hint="eastAsia"/>
          <w:kern w:val="0"/>
          <w:sz w:val="24"/>
          <w:szCs w:val="24"/>
        </w:rPr>
        <w:t>全面营养分析</w:t>
      </w:r>
    </w:p>
    <w:p w:rsidR="00847333" w:rsidRPr="006C3A5B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宋体" w:cs="宋体"/>
          <w:kern w:val="0"/>
          <w:sz w:val="24"/>
          <w:szCs w:val="24"/>
        </w:rPr>
        <w:t>2.1</w:t>
      </w:r>
      <w:r w:rsidRPr="006C3A5B">
        <w:rPr>
          <w:rFonts w:ascii="宋体" w:hAnsi="宋体" w:cs="宋体" w:hint="eastAsia"/>
          <w:kern w:val="0"/>
          <w:sz w:val="24"/>
          <w:szCs w:val="24"/>
        </w:rPr>
        <w:t>食物营养素摄入量与推荐量比较，提供多种推荐量</w:t>
      </w:r>
      <w:r w:rsidRPr="006C3A5B">
        <w:rPr>
          <w:rFonts w:ascii="宋体" w:hAnsi="宋体" w:cs="宋体"/>
          <w:kern w:val="0"/>
          <w:sz w:val="24"/>
          <w:szCs w:val="24"/>
        </w:rPr>
        <w:t>(</w:t>
      </w:r>
      <w:r w:rsidRPr="006C3A5B">
        <w:rPr>
          <w:rFonts w:ascii="宋体" w:hAnsi="宋体" w:cs="宋体" w:hint="eastAsia"/>
          <w:kern w:val="0"/>
          <w:sz w:val="24"/>
          <w:szCs w:val="24"/>
        </w:rPr>
        <w:t>基础代谢、国内</w:t>
      </w:r>
      <w:r w:rsidRPr="006C3A5B">
        <w:rPr>
          <w:rFonts w:ascii="宋体" w:hAnsi="宋体" w:cs="宋体"/>
          <w:kern w:val="0"/>
          <w:sz w:val="24"/>
          <w:szCs w:val="24"/>
        </w:rPr>
        <w:t>DRIS</w:t>
      </w:r>
      <w:r w:rsidRPr="006C3A5B">
        <w:rPr>
          <w:rFonts w:ascii="宋体" w:hAnsi="宋体" w:cs="宋体" w:hint="eastAsia"/>
          <w:kern w:val="0"/>
          <w:sz w:val="24"/>
          <w:szCs w:val="24"/>
        </w:rPr>
        <w:t>、身高体重等方法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)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宋体" w:cs="宋体"/>
          <w:kern w:val="0"/>
          <w:sz w:val="24"/>
          <w:szCs w:val="24"/>
        </w:rPr>
        <w:t xml:space="preserve">2.2 </w:t>
      </w:r>
      <w:r w:rsidRPr="006C3A5B">
        <w:rPr>
          <w:rFonts w:ascii="宋体" w:hAnsi="宋体" w:cs="宋体" w:hint="eastAsia"/>
          <w:kern w:val="0"/>
          <w:sz w:val="24"/>
          <w:szCs w:val="24"/>
        </w:rPr>
        <w:t>三大营养素产能比例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宋体" w:cs="宋体"/>
          <w:kern w:val="0"/>
          <w:sz w:val="24"/>
          <w:szCs w:val="24"/>
        </w:rPr>
        <w:t xml:space="preserve">2.3 </w:t>
      </w:r>
      <w:r w:rsidRPr="006C3A5B">
        <w:rPr>
          <w:rFonts w:ascii="宋体" w:hAnsi="宋体" w:cs="宋体" w:hint="eastAsia"/>
          <w:kern w:val="0"/>
          <w:sz w:val="24"/>
          <w:szCs w:val="24"/>
        </w:rPr>
        <w:t>蛋白质、脂肪食物来源分配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宋体" w:cs="宋体"/>
          <w:kern w:val="0"/>
          <w:sz w:val="24"/>
          <w:szCs w:val="24"/>
        </w:rPr>
        <w:t xml:space="preserve">2.4 </w:t>
      </w:r>
      <w:r w:rsidRPr="006C3A5B">
        <w:rPr>
          <w:rFonts w:ascii="宋体" w:hAnsi="宋体" w:cs="宋体" w:hint="eastAsia"/>
          <w:kern w:val="0"/>
          <w:sz w:val="24"/>
          <w:szCs w:val="24"/>
        </w:rPr>
        <w:t>三大营养素供能分布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宋体" w:cs="宋体"/>
          <w:kern w:val="0"/>
          <w:sz w:val="24"/>
          <w:szCs w:val="24"/>
        </w:rPr>
        <w:t xml:space="preserve">2.5 </w:t>
      </w:r>
      <w:r w:rsidRPr="006C3A5B">
        <w:rPr>
          <w:rFonts w:ascii="宋体" w:hAnsi="宋体" w:cs="宋体" w:hint="eastAsia"/>
          <w:kern w:val="0"/>
          <w:sz w:val="24"/>
          <w:szCs w:val="24"/>
        </w:rPr>
        <w:t>三餐功能比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宋体" w:cs="宋体"/>
          <w:kern w:val="0"/>
          <w:sz w:val="24"/>
          <w:szCs w:val="24"/>
        </w:rPr>
        <w:t xml:space="preserve">2.6 </w:t>
      </w:r>
      <w:r w:rsidRPr="006C3A5B">
        <w:rPr>
          <w:rFonts w:ascii="宋体" w:hAnsi="宋体" w:cs="宋体" w:hint="eastAsia"/>
          <w:kern w:val="0"/>
          <w:sz w:val="24"/>
          <w:szCs w:val="24"/>
        </w:rPr>
        <w:t>膳食构成表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宋体" w:cs="宋体"/>
          <w:kern w:val="0"/>
          <w:sz w:val="24"/>
          <w:szCs w:val="24"/>
        </w:rPr>
        <w:t xml:space="preserve">2.7 </w:t>
      </w:r>
      <w:r w:rsidRPr="006C3A5B">
        <w:rPr>
          <w:rFonts w:ascii="宋体" w:hAnsi="宋体" w:cs="宋体" w:hint="eastAsia"/>
          <w:kern w:val="0"/>
          <w:sz w:val="24"/>
          <w:szCs w:val="24"/>
        </w:rPr>
        <w:t>脂肪酸构成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2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.8 </w:t>
      </w:r>
      <w:r w:rsidRPr="006C3A5B">
        <w:rPr>
          <w:rFonts w:ascii="宋体" w:hAnsi="宋体" w:cs="宋体" w:hint="eastAsia"/>
          <w:kern w:val="0"/>
          <w:sz w:val="24"/>
          <w:szCs w:val="24"/>
        </w:rPr>
        <w:t>综合分析建议、显示分析列表；</w:t>
      </w:r>
    </w:p>
    <w:p w:rsidR="00847333" w:rsidRPr="006C3A5B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C3A5B">
        <w:rPr>
          <w:rFonts w:ascii="宋体" w:hAnsi="宋体" w:cs="宋体" w:hint="eastAsia"/>
          <w:kern w:val="0"/>
          <w:sz w:val="24"/>
          <w:szCs w:val="24"/>
        </w:rPr>
        <w:t>完整营养诊疗方案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3.</w:t>
      </w:r>
      <w:r w:rsidRPr="006C3A5B">
        <w:rPr>
          <w:rFonts w:ascii="宋体" w:hAnsi="宋体" w:cs="宋体"/>
          <w:kern w:val="0"/>
          <w:sz w:val="24"/>
          <w:szCs w:val="24"/>
        </w:rPr>
        <w:t>1</w:t>
      </w:r>
      <w:r w:rsidRPr="006C3A5B">
        <w:rPr>
          <w:rFonts w:ascii="宋体" w:hAnsi="宋体" w:cs="宋体" w:hint="eastAsia"/>
          <w:kern w:val="0"/>
          <w:sz w:val="24"/>
          <w:szCs w:val="24"/>
        </w:rPr>
        <w:t>提供标准营养素标准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3.</w:t>
      </w:r>
      <w:r w:rsidRPr="006C3A5B">
        <w:rPr>
          <w:rFonts w:ascii="宋体" w:hAnsi="宋体" w:cs="宋体"/>
          <w:kern w:val="0"/>
          <w:sz w:val="24"/>
          <w:szCs w:val="24"/>
        </w:rPr>
        <w:t>2</w:t>
      </w:r>
      <w:r w:rsidRPr="006C3A5B">
        <w:rPr>
          <w:rFonts w:ascii="宋体" w:hAnsi="宋体" w:cs="宋体" w:hint="eastAsia"/>
          <w:kern w:val="0"/>
          <w:sz w:val="24"/>
          <w:szCs w:val="24"/>
        </w:rPr>
        <w:t>提供指导性食谱及经典食谱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/>
          <w:kern w:val="0"/>
          <w:sz w:val="24"/>
          <w:szCs w:val="24"/>
        </w:rPr>
        <w:t>.3</w:t>
      </w:r>
      <w:r w:rsidRPr="006C3A5B">
        <w:rPr>
          <w:rFonts w:ascii="宋体" w:hAnsi="宋体" w:cs="宋体" w:hint="eastAsia"/>
          <w:kern w:val="0"/>
          <w:sz w:val="24"/>
          <w:szCs w:val="24"/>
        </w:rPr>
        <w:t>对应疾病的营养治疗原则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3.</w:t>
      </w:r>
      <w:r w:rsidRPr="006C3A5B">
        <w:rPr>
          <w:rFonts w:ascii="宋体" w:hAnsi="宋体" w:cs="宋体"/>
          <w:kern w:val="0"/>
          <w:sz w:val="24"/>
          <w:szCs w:val="24"/>
        </w:rPr>
        <w:t>4</w:t>
      </w:r>
      <w:r w:rsidRPr="006C3A5B">
        <w:rPr>
          <w:rFonts w:ascii="宋体" w:hAnsi="宋体" w:cs="宋体" w:hint="eastAsia"/>
          <w:kern w:val="0"/>
          <w:sz w:val="24"/>
          <w:szCs w:val="24"/>
        </w:rPr>
        <w:t>饮食宜忌及药膳食疗处方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47333" w:rsidRPr="006C3A5B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C3A5B">
        <w:rPr>
          <w:rFonts w:ascii="宋体" w:hAnsi="宋体" w:cs="宋体" w:hint="eastAsia"/>
          <w:kern w:val="0"/>
          <w:sz w:val="24"/>
          <w:szCs w:val="24"/>
        </w:rPr>
        <w:t>营养病历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宋体" w:cs="宋体" w:hint="eastAsia"/>
          <w:kern w:val="0"/>
          <w:sz w:val="24"/>
          <w:szCs w:val="24"/>
        </w:rPr>
        <w:t>标准的营养病历，全面反映营养诊疗过程，具体包括以下内容：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4.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1 </w:t>
      </w:r>
      <w:r w:rsidRPr="006C3A5B">
        <w:rPr>
          <w:rFonts w:ascii="宋体" w:hAnsi="宋体" w:cs="宋体" w:hint="eastAsia"/>
          <w:kern w:val="0"/>
          <w:sz w:val="24"/>
          <w:szCs w:val="24"/>
        </w:rPr>
        <w:t>病人基本信息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4.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2 </w:t>
      </w:r>
      <w:r w:rsidRPr="006C3A5B">
        <w:rPr>
          <w:rFonts w:ascii="宋体" w:hAnsi="宋体" w:cs="宋体" w:hint="eastAsia"/>
          <w:kern w:val="0"/>
          <w:sz w:val="24"/>
          <w:szCs w:val="24"/>
        </w:rPr>
        <w:t>主观全面评价</w:t>
      </w:r>
      <w:r w:rsidRPr="006C3A5B">
        <w:rPr>
          <w:rFonts w:ascii="宋体" w:hAnsi="宋体" w:cs="宋体"/>
          <w:kern w:val="0"/>
          <w:sz w:val="24"/>
          <w:szCs w:val="24"/>
        </w:rPr>
        <w:t>(SGA)</w:t>
      </w:r>
      <w:r w:rsidRPr="006C3A5B">
        <w:rPr>
          <w:rFonts w:ascii="宋体" w:hAnsi="宋体" w:cs="宋体" w:hint="eastAsia"/>
          <w:kern w:val="0"/>
          <w:sz w:val="24"/>
          <w:szCs w:val="24"/>
        </w:rPr>
        <w:t>、人体组成评价（</w:t>
      </w:r>
      <w:r w:rsidRPr="006C3A5B">
        <w:rPr>
          <w:rFonts w:ascii="宋体" w:hAnsi="宋体" w:cs="宋体"/>
          <w:kern w:val="0"/>
          <w:sz w:val="24"/>
          <w:szCs w:val="24"/>
        </w:rPr>
        <w:t>BCA</w:t>
      </w:r>
      <w:r w:rsidRPr="006C3A5B">
        <w:rPr>
          <w:rFonts w:ascii="宋体" w:hAnsi="宋体" w:cs="宋体" w:hint="eastAsia"/>
          <w:kern w:val="0"/>
          <w:sz w:val="24"/>
          <w:szCs w:val="24"/>
        </w:rPr>
        <w:t>）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lastRenderedPageBreak/>
        <w:t>4.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3 </w:t>
      </w:r>
      <w:r w:rsidRPr="006C3A5B">
        <w:rPr>
          <w:rFonts w:ascii="宋体" w:hAnsi="宋体" w:cs="宋体" w:hint="eastAsia"/>
          <w:kern w:val="0"/>
          <w:sz w:val="24"/>
          <w:szCs w:val="24"/>
        </w:rPr>
        <w:t>营养体检检查</w:t>
      </w:r>
      <w:r w:rsidRPr="006C3A5B">
        <w:rPr>
          <w:rFonts w:ascii="宋体" w:hAnsi="宋体" w:cs="宋体"/>
          <w:kern w:val="0"/>
          <w:sz w:val="24"/>
          <w:szCs w:val="24"/>
        </w:rPr>
        <w:t>(</w:t>
      </w:r>
      <w:r w:rsidRPr="006C3A5B">
        <w:rPr>
          <w:rFonts w:ascii="宋体" w:hAnsi="宋体" w:cs="宋体" w:hint="eastAsia"/>
          <w:kern w:val="0"/>
          <w:sz w:val="24"/>
          <w:szCs w:val="24"/>
        </w:rPr>
        <w:t>身高、体重、体质指数、意识、精神、食欲等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)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4.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4 </w:t>
      </w:r>
      <w:r w:rsidRPr="006C3A5B">
        <w:rPr>
          <w:rFonts w:ascii="宋体" w:hAnsi="宋体" w:cs="宋体" w:hint="eastAsia"/>
          <w:kern w:val="0"/>
          <w:sz w:val="24"/>
          <w:szCs w:val="24"/>
        </w:rPr>
        <w:t>临床检查缺乏症表现</w:t>
      </w:r>
      <w:r w:rsidRPr="006C3A5B">
        <w:rPr>
          <w:rFonts w:ascii="宋体" w:hAnsi="宋体" w:cs="宋体"/>
          <w:kern w:val="0"/>
          <w:sz w:val="24"/>
          <w:szCs w:val="24"/>
        </w:rPr>
        <w:t>(</w:t>
      </w:r>
      <w:r w:rsidRPr="006C3A5B">
        <w:rPr>
          <w:rFonts w:ascii="宋体" w:hAnsi="宋体" w:cs="宋体" w:hint="eastAsia"/>
          <w:kern w:val="0"/>
          <w:sz w:val="24"/>
          <w:szCs w:val="24"/>
        </w:rPr>
        <w:t>皮肤、全身、颈部、骨骼等方面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26 </w:t>
      </w:r>
      <w:r w:rsidRPr="006C3A5B">
        <w:rPr>
          <w:rFonts w:ascii="宋体" w:hAnsi="宋体" w:cs="宋体" w:hint="eastAsia"/>
          <w:kern w:val="0"/>
          <w:sz w:val="24"/>
          <w:szCs w:val="24"/>
        </w:rPr>
        <w:t>项检查。</w:t>
      </w:r>
    </w:p>
    <w:p w:rsidR="00847333" w:rsidRDefault="00847333" w:rsidP="00847333">
      <w:pPr>
        <w:widowControl/>
        <w:spacing w:line="384" w:lineRule="atLeas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4.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5 </w:t>
      </w:r>
      <w:r w:rsidRPr="006C3A5B">
        <w:rPr>
          <w:rFonts w:ascii="宋体" w:hAnsi="宋体" w:cs="宋体" w:hint="eastAsia"/>
          <w:kern w:val="0"/>
          <w:sz w:val="24"/>
          <w:szCs w:val="24"/>
        </w:rPr>
        <w:t>临床生理生化监测记录</w:t>
      </w:r>
      <w:r w:rsidRPr="006C3A5B">
        <w:rPr>
          <w:rFonts w:ascii="宋体" w:hAnsi="宋体" w:cs="宋体"/>
          <w:kern w:val="0"/>
          <w:sz w:val="24"/>
          <w:szCs w:val="24"/>
        </w:rPr>
        <w:t>(</w:t>
      </w:r>
      <w:r w:rsidRPr="006C3A5B">
        <w:rPr>
          <w:rFonts w:ascii="宋体" w:hAnsi="宋体" w:cs="宋体" w:hint="eastAsia"/>
          <w:kern w:val="0"/>
          <w:sz w:val="24"/>
          <w:szCs w:val="24"/>
        </w:rPr>
        <w:t>白细胞、淋巴细胞、血红蛋白、肌酐、尿酸、血糖、</w:t>
      </w:r>
      <w:r w:rsidRPr="006C3A5B">
        <w:rPr>
          <w:rFonts w:ascii="宋体" w:hAnsi="宋体" w:cs="宋体"/>
          <w:kern w:val="0"/>
          <w:sz w:val="24"/>
          <w:szCs w:val="24"/>
        </w:rPr>
        <w:t>Ka +,</w:t>
      </w:r>
    </w:p>
    <w:p w:rsidR="00847333" w:rsidRPr="006C3A5B" w:rsidRDefault="00847333" w:rsidP="00847333">
      <w:pPr>
        <w:widowControl/>
        <w:spacing w:line="384" w:lineRule="atLeas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宋体" w:cs="宋体"/>
          <w:kern w:val="0"/>
          <w:sz w:val="24"/>
          <w:szCs w:val="24"/>
        </w:rPr>
        <w:t>Na +</w:t>
      </w:r>
      <w:r w:rsidRPr="006C3A5B">
        <w:rPr>
          <w:rFonts w:ascii="宋体" w:hAnsi="宋体" w:cs="宋体" w:hint="eastAsia"/>
          <w:kern w:val="0"/>
          <w:sz w:val="24"/>
          <w:szCs w:val="24"/>
        </w:rPr>
        <w:t>，</w:t>
      </w:r>
      <w:r w:rsidRPr="006C3A5B">
        <w:rPr>
          <w:rFonts w:ascii="宋体" w:hAnsi="宋体" w:cs="宋体"/>
          <w:kern w:val="0"/>
          <w:sz w:val="24"/>
          <w:szCs w:val="24"/>
        </w:rPr>
        <w:t>Cl-</w:t>
      </w:r>
      <w:r w:rsidRPr="006C3A5B">
        <w:rPr>
          <w:rFonts w:ascii="宋体" w:hAnsi="宋体" w:cs="宋体" w:hint="eastAsia"/>
          <w:kern w:val="0"/>
          <w:sz w:val="24"/>
          <w:szCs w:val="24"/>
        </w:rPr>
        <w:t>等数据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)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 xml:space="preserve">    4.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6 </w:t>
      </w:r>
      <w:r w:rsidRPr="006C3A5B">
        <w:rPr>
          <w:rFonts w:ascii="宋体" w:hAnsi="宋体" w:cs="宋体" w:hint="eastAsia"/>
          <w:kern w:val="0"/>
          <w:sz w:val="24"/>
          <w:szCs w:val="24"/>
        </w:rPr>
        <w:t>监测重点、营养治疗指征、与营养相关药物治疗、饮食禁忌等；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 xml:space="preserve">    4.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7 </w:t>
      </w:r>
      <w:r w:rsidRPr="006C3A5B">
        <w:rPr>
          <w:rFonts w:ascii="宋体" w:hAnsi="宋体" w:cs="宋体" w:hint="eastAsia"/>
          <w:kern w:val="0"/>
          <w:sz w:val="24"/>
          <w:szCs w:val="24"/>
        </w:rPr>
        <w:t>治疗方案与小结</w:t>
      </w:r>
      <w:r w:rsidRPr="006C3A5B">
        <w:rPr>
          <w:rFonts w:ascii="宋体" w:hAnsi="宋体" w:cs="宋体"/>
          <w:kern w:val="0"/>
          <w:sz w:val="24"/>
          <w:szCs w:val="24"/>
        </w:rPr>
        <w:t>(</w:t>
      </w:r>
      <w:r w:rsidRPr="006C3A5B">
        <w:rPr>
          <w:rFonts w:ascii="宋体" w:hAnsi="宋体" w:cs="宋体" w:hint="eastAsia"/>
          <w:kern w:val="0"/>
          <w:sz w:val="24"/>
          <w:szCs w:val="24"/>
        </w:rPr>
        <w:t>诊疗原则、营养原则、治疗方案、跟踪记录等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)</w:t>
      </w:r>
    </w:p>
    <w:p w:rsidR="00847333" w:rsidRPr="006C3A5B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宋体" w:cs="宋体"/>
          <w:kern w:val="0"/>
          <w:sz w:val="24"/>
          <w:szCs w:val="24"/>
        </w:rPr>
        <w:t>5</w:t>
      </w:r>
      <w:r w:rsidRPr="006C3A5B">
        <w:rPr>
          <w:rFonts w:ascii="宋体" w:hAnsi="宋体" w:cs="宋体" w:hint="eastAsia"/>
          <w:kern w:val="0"/>
          <w:sz w:val="24"/>
          <w:szCs w:val="24"/>
        </w:rPr>
        <w:t>、营养知识库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5.</w:t>
      </w:r>
      <w:r w:rsidRPr="006C3A5B">
        <w:rPr>
          <w:rFonts w:ascii="宋体" w:hAnsi="宋体" w:cs="宋体"/>
          <w:kern w:val="0"/>
          <w:sz w:val="24"/>
          <w:szCs w:val="24"/>
        </w:rPr>
        <w:t>1</w:t>
      </w:r>
      <w:r w:rsidRPr="006C3A5B">
        <w:rPr>
          <w:rFonts w:ascii="宋体" w:hAnsi="宋体" w:cs="宋体" w:hint="eastAsia"/>
          <w:kern w:val="0"/>
          <w:sz w:val="24"/>
          <w:szCs w:val="24"/>
        </w:rPr>
        <w:t>提供各种疾病及特殊人群的经典食谱库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5.</w:t>
      </w:r>
      <w:r w:rsidRPr="006C3A5B">
        <w:rPr>
          <w:rFonts w:ascii="宋体" w:hAnsi="宋体" w:cs="宋体"/>
          <w:kern w:val="0"/>
          <w:sz w:val="24"/>
          <w:szCs w:val="24"/>
        </w:rPr>
        <w:t>2</w:t>
      </w:r>
      <w:r w:rsidRPr="006C3A5B">
        <w:rPr>
          <w:rFonts w:ascii="宋体" w:hAnsi="宋体" w:cs="宋体" w:hint="eastAsia"/>
          <w:kern w:val="0"/>
          <w:sz w:val="24"/>
          <w:szCs w:val="24"/>
        </w:rPr>
        <w:t>提供各种疾病的营养素设置及个别营养素限制标准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5.</w:t>
      </w:r>
      <w:r w:rsidRPr="006C3A5B">
        <w:rPr>
          <w:rFonts w:ascii="宋体" w:hAnsi="宋体" w:cs="宋体"/>
          <w:kern w:val="0"/>
          <w:sz w:val="24"/>
          <w:szCs w:val="24"/>
        </w:rPr>
        <w:t>3</w:t>
      </w:r>
      <w:r w:rsidRPr="006C3A5B">
        <w:rPr>
          <w:rFonts w:ascii="宋体" w:hAnsi="宋体" w:cs="宋体" w:hint="eastAsia"/>
          <w:kern w:val="0"/>
          <w:sz w:val="24"/>
          <w:szCs w:val="24"/>
        </w:rPr>
        <w:t>提供各种疾病的营养治疗原则、中医食疗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5.</w:t>
      </w:r>
      <w:r w:rsidRPr="006C3A5B">
        <w:rPr>
          <w:rFonts w:ascii="宋体" w:hAnsi="宋体" w:cs="宋体"/>
          <w:kern w:val="0"/>
          <w:sz w:val="24"/>
          <w:szCs w:val="24"/>
        </w:rPr>
        <w:t>4</w:t>
      </w:r>
      <w:r w:rsidRPr="006C3A5B">
        <w:rPr>
          <w:rFonts w:ascii="宋体" w:hAnsi="宋体" w:cs="宋体" w:hint="eastAsia"/>
          <w:kern w:val="0"/>
          <w:sz w:val="24"/>
          <w:szCs w:val="24"/>
        </w:rPr>
        <w:t>提供正常居民膳食指导及膳食原则建议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  <w:r w:rsidRPr="006C3A5B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5.</w:t>
      </w:r>
      <w:r w:rsidRPr="006C3A5B">
        <w:rPr>
          <w:rFonts w:ascii="宋体" w:hAnsi="宋体" w:cs="宋体"/>
          <w:kern w:val="0"/>
          <w:sz w:val="24"/>
          <w:szCs w:val="24"/>
        </w:rPr>
        <w:t>5</w:t>
      </w:r>
      <w:r w:rsidRPr="006C3A5B">
        <w:rPr>
          <w:rFonts w:ascii="宋体" w:hAnsi="宋体" w:cs="宋体" w:hint="eastAsia"/>
          <w:kern w:val="0"/>
          <w:sz w:val="24"/>
          <w:szCs w:val="24"/>
        </w:rPr>
        <w:t>提供居民营养状态风险评估及分析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47333" w:rsidRPr="006C3A5B" w:rsidRDefault="00847333" w:rsidP="00847333">
      <w:pPr>
        <w:widowControl/>
        <w:spacing w:line="384" w:lineRule="atLeas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宋体" w:cs="宋体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C3A5B">
        <w:rPr>
          <w:rFonts w:ascii="宋体" w:hAnsi="宋体" w:cs="宋体" w:hint="eastAsia"/>
          <w:kern w:val="0"/>
          <w:sz w:val="24"/>
          <w:szCs w:val="24"/>
        </w:rPr>
        <w:t>软件数据库要求</w:t>
      </w:r>
    </w:p>
    <w:p w:rsidR="00847333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宋体" w:cs="宋体" w:hint="eastAsia"/>
          <w:kern w:val="0"/>
          <w:sz w:val="24"/>
          <w:szCs w:val="24"/>
        </w:rPr>
        <w:t>数据库所涉及的全部内容均向用户开放提供自定义功能，可自行添加或修改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Wingdings" w:cs="宋体" w:hint="eastAsia"/>
          <w:kern w:val="0"/>
          <w:sz w:val="24"/>
          <w:szCs w:val="24"/>
        </w:rPr>
        <w:sym w:font="Wingdings" w:char="F06C"/>
      </w:r>
      <w:r w:rsidRPr="006C3A5B">
        <w:rPr>
          <w:rFonts w:ascii="宋体" w:hAnsi="宋体" w:cs="宋体" w:hint="eastAsia"/>
          <w:kern w:val="0"/>
          <w:sz w:val="24"/>
          <w:szCs w:val="24"/>
        </w:rPr>
        <w:t>食物库：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涵盖最新的中国食物成分表</w:t>
      </w:r>
      <w:r w:rsidRPr="006C3A5B">
        <w:rPr>
          <w:rFonts w:ascii="宋体" w:hAnsi="宋体" w:cs="宋体"/>
          <w:kern w:val="0"/>
          <w:sz w:val="24"/>
          <w:szCs w:val="24"/>
        </w:rPr>
        <w:t>2009</w:t>
      </w:r>
      <w:r w:rsidRPr="006C3A5B">
        <w:rPr>
          <w:rFonts w:ascii="宋体" w:hAnsi="宋体" w:cs="宋体" w:hint="eastAsia"/>
          <w:kern w:val="0"/>
          <w:sz w:val="24"/>
          <w:szCs w:val="24"/>
        </w:rPr>
        <w:t>，另外增加了婴幼儿的食物、肠内营养制剂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及常见的新食物等，共计</w:t>
      </w:r>
      <w:r w:rsidRPr="006C3A5B">
        <w:rPr>
          <w:rFonts w:ascii="宋体" w:hAnsi="宋体" w:cs="宋体"/>
          <w:kern w:val="0"/>
          <w:sz w:val="24"/>
          <w:szCs w:val="24"/>
        </w:rPr>
        <w:t>3000</w:t>
      </w:r>
      <w:r w:rsidRPr="006C3A5B">
        <w:rPr>
          <w:rFonts w:ascii="宋体" w:hAnsi="宋体" w:cs="宋体" w:hint="eastAsia"/>
          <w:kern w:val="0"/>
          <w:sz w:val="24"/>
          <w:szCs w:val="24"/>
        </w:rPr>
        <w:t>多种。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Wingdings" w:cs="宋体" w:hint="eastAsia"/>
          <w:kern w:val="0"/>
          <w:sz w:val="24"/>
          <w:szCs w:val="24"/>
        </w:rPr>
        <w:sym w:font="Wingdings" w:char="F06C"/>
      </w:r>
      <w:r w:rsidRPr="006C3A5B">
        <w:rPr>
          <w:rFonts w:ascii="宋体" w:hAnsi="宋体" w:cs="宋体" w:hint="eastAsia"/>
          <w:kern w:val="0"/>
          <w:sz w:val="24"/>
          <w:szCs w:val="24"/>
        </w:rPr>
        <w:t>菜谱库：系统将根据菜谱分成多个类别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(</w:t>
      </w:r>
      <w:r w:rsidRPr="006C3A5B">
        <w:rPr>
          <w:rFonts w:ascii="宋体" w:hAnsi="宋体" w:cs="宋体" w:hint="eastAsia"/>
          <w:kern w:val="0"/>
          <w:sz w:val="24"/>
          <w:szCs w:val="24"/>
        </w:rPr>
        <w:t>主食、点心、乳类、猪肉类、鱼虾类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、牛肉类、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水果类、油脂类、豆制品类、蛋类、匀浆类、肠内营养制剂等</w:t>
      </w:r>
      <w:r w:rsidRPr="006C3A5B">
        <w:rPr>
          <w:rFonts w:ascii="宋体" w:hAnsi="宋体" w:cs="宋体"/>
          <w:kern w:val="0"/>
          <w:sz w:val="24"/>
          <w:szCs w:val="24"/>
        </w:rPr>
        <w:t>)</w:t>
      </w:r>
      <w:r w:rsidRPr="006C3A5B">
        <w:rPr>
          <w:rFonts w:ascii="宋体" w:hAnsi="宋体" w:cs="宋体" w:hint="eastAsia"/>
          <w:kern w:val="0"/>
          <w:sz w:val="24"/>
          <w:szCs w:val="24"/>
        </w:rPr>
        <w:t>，含有不同地区常用菜谱共计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2000 </w:t>
      </w:r>
      <w:r w:rsidRPr="006C3A5B">
        <w:rPr>
          <w:rFonts w:ascii="宋体" w:hAnsi="宋体" w:cs="宋体" w:hint="eastAsia"/>
          <w:kern w:val="0"/>
          <w:sz w:val="24"/>
          <w:szCs w:val="24"/>
        </w:rPr>
        <w:t>多种；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Wingdings" w:cs="宋体" w:hint="eastAsia"/>
          <w:kern w:val="0"/>
          <w:sz w:val="24"/>
          <w:szCs w:val="24"/>
        </w:rPr>
        <w:sym w:font="Wingdings" w:char="F06C"/>
      </w:r>
      <w:r w:rsidRPr="006C3A5B">
        <w:rPr>
          <w:rFonts w:ascii="宋体" w:hAnsi="宋体" w:cs="宋体" w:hint="eastAsia"/>
          <w:kern w:val="0"/>
          <w:sz w:val="24"/>
          <w:szCs w:val="24"/>
        </w:rPr>
        <w:t>疾病库：系统共有</w:t>
      </w:r>
      <w:r w:rsidRPr="006C3A5B">
        <w:rPr>
          <w:rFonts w:ascii="宋体" w:hAnsi="宋体" w:cs="宋体"/>
          <w:kern w:val="0"/>
          <w:sz w:val="24"/>
          <w:szCs w:val="24"/>
        </w:rPr>
        <w:t>40</w:t>
      </w:r>
      <w:r w:rsidRPr="006C3A5B">
        <w:rPr>
          <w:rFonts w:ascii="宋体" w:hAnsi="宋体" w:cs="宋体" w:hint="eastAsia"/>
          <w:kern w:val="0"/>
          <w:sz w:val="24"/>
          <w:szCs w:val="24"/>
        </w:rPr>
        <w:t>多类疾病，每个疾病类别都含有具体的疾病，共有</w:t>
      </w:r>
      <w:r w:rsidRPr="006C3A5B">
        <w:rPr>
          <w:rFonts w:ascii="宋体" w:hAnsi="宋体" w:cs="宋体"/>
          <w:kern w:val="0"/>
          <w:sz w:val="24"/>
          <w:szCs w:val="24"/>
        </w:rPr>
        <w:t>400</w:t>
      </w:r>
      <w:r w:rsidRPr="006C3A5B">
        <w:rPr>
          <w:rFonts w:ascii="宋体" w:hAnsi="宋体" w:cs="宋体" w:hint="eastAsia"/>
          <w:kern w:val="0"/>
          <w:sz w:val="24"/>
          <w:szCs w:val="24"/>
        </w:rPr>
        <w:t>多种，每种</w:t>
      </w:r>
      <w:r w:rsidRPr="006C3A5B">
        <w:rPr>
          <w:rFonts w:ascii="宋体" w:hAnsi="宋体" w:cs="宋体"/>
          <w:kern w:val="0"/>
          <w:sz w:val="24"/>
          <w:szCs w:val="24"/>
        </w:rPr>
        <w:t xml:space="preserve"> </w:t>
      </w:r>
      <w:r w:rsidRPr="006C3A5B">
        <w:rPr>
          <w:rFonts w:ascii="宋体" w:hAnsi="宋体" w:cs="宋体" w:hint="eastAsia"/>
          <w:kern w:val="0"/>
          <w:sz w:val="24"/>
          <w:szCs w:val="24"/>
        </w:rPr>
        <w:t>疾病对应相应症状、病因、治疗等详细资料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47333" w:rsidRPr="006C3A5B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 w:rsidRPr="006C3A5B">
        <w:rPr>
          <w:rFonts w:ascii="宋体" w:hAnsi="Wingdings" w:cs="宋体" w:hint="eastAsia"/>
          <w:kern w:val="0"/>
          <w:sz w:val="24"/>
          <w:szCs w:val="24"/>
        </w:rPr>
        <w:sym w:font="Wingdings" w:char="F06C"/>
      </w:r>
      <w:r w:rsidRPr="006C3A5B">
        <w:rPr>
          <w:rFonts w:ascii="宋体" w:hAnsi="宋体" w:cs="宋体" w:hint="eastAsia"/>
          <w:kern w:val="0"/>
          <w:sz w:val="24"/>
          <w:szCs w:val="24"/>
        </w:rPr>
        <w:t>资料库：软件包含疾病所对应的日常健康保健、运动疗法、中医食疗、治疗原则等内容及包括膳食类型介绍，并提供打印功能。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Wingdings" w:cs="宋体" w:hint="eastAsia"/>
          <w:kern w:val="0"/>
          <w:sz w:val="24"/>
          <w:szCs w:val="24"/>
        </w:rPr>
        <w:sym w:font="Wingdings" w:char="F06C"/>
      </w:r>
      <w:r w:rsidRPr="006C3A5B">
        <w:rPr>
          <w:rFonts w:ascii="宋体" w:hAnsi="宋体" w:cs="宋体" w:hint="eastAsia"/>
          <w:kern w:val="0"/>
          <w:sz w:val="24"/>
          <w:szCs w:val="24"/>
        </w:rPr>
        <w:t>经典食谱库：系统包含不同疾病的不同能量标准的食谱、包含不同膳食类型的食谱，用户可直接调用或修改。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Wingdings" w:cs="宋体" w:hint="eastAsia"/>
          <w:kern w:val="0"/>
          <w:sz w:val="24"/>
          <w:szCs w:val="24"/>
        </w:rPr>
        <w:sym w:font="Wingdings" w:char="F06C"/>
      </w:r>
      <w:r w:rsidRPr="006C3A5B">
        <w:rPr>
          <w:rFonts w:ascii="宋体" w:hAnsi="宋体" w:cs="宋体" w:hint="eastAsia"/>
          <w:kern w:val="0"/>
          <w:sz w:val="24"/>
          <w:szCs w:val="24"/>
        </w:rPr>
        <w:t>食物交换份：食谱制定时可以按照每个膳食类别进行食物替换。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Wingdings" w:cs="宋体" w:hint="eastAsia"/>
          <w:kern w:val="0"/>
          <w:sz w:val="24"/>
          <w:szCs w:val="24"/>
        </w:rPr>
        <w:sym w:font="Wingdings" w:char="F06C"/>
      </w:r>
      <w:r w:rsidRPr="006C3A5B">
        <w:rPr>
          <w:rFonts w:ascii="宋体" w:hAnsi="宋体" w:cs="宋体" w:hint="eastAsia"/>
          <w:kern w:val="0"/>
          <w:sz w:val="24"/>
          <w:szCs w:val="24"/>
        </w:rPr>
        <w:t>年龄库：</w:t>
      </w:r>
      <w:r w:rsidRPr="006C3A5B">
        <w:rPr>
          <w:rFonts w:ascii="宋体" w:hAnsi="宋体" w:cs="宋体"/>
          <w:kern w:val="0"/>
          <w:sz w:val="24"/>
          <w:szCs w:val="24"/>
        </w:rPr>
        <w:t>0~80</w:t>
      </w:r>
      <w:r w:rsidRPr="006C3A5B">
        <w:rPr>
          <w:rFonts w:ascii="宋体" w:hAnsi="宋体" w:cs="宋体" w:hint="eastAsia"/>
          <w:kern w:val="0"/>
          <w:sz w:val="24"/>
          <w:szCs w:val="24"/>
        </w:rPr>
        <w:t>以上各个年龄段的人群按照男、女</w:t>
      </w:r>
      <w:r w:rsidRPr="006C3A5B">
        <w:rPr>
          <w:rFonts w:ascii="宋体" w:hAnsi="宋体" w:cs="宋体"/>
          <w:kern w:val="0"/>
          <w:sz w:val="24"/>
          <w:szCs w:val="24"/>
        </w:rPr>
        <w:t>(</w:t>
      </w:r>
      <w:r w:rsidRPr="006C3A5B">
        <w:rPr>
          <w:rFonts w:ascii="宋体" w:hAnsi="宋体" w:cs="宋体" w:hint="eastAsia"/>
          <w:kern w:val="0"/>
          <w:sz w:val="24"/>
          <w:szCs w:val="24"/>
        </w:rPr>
        <w:t>孕妇分早、中、晚</w:t>
      </w:r>
      <w:r w:rsidRPr="006C3A5B">
        <w:rPr>
          <w:rFonts w:ascii="宋体" w:hAnsi="宋体" w:cs="宋体"/>
          <w:kern w:val="0"/>
          <w:sz w:val="24"/>
          <w:szCs w:val="24"/>
        </w:rPr>
        <w:t>)</w:t>
      </w:r>
      <w:r w:rsidRPr="006C3A5B">
        <w:rPr>
          <w:rFonts w:ascii="宋体" w:hAnsi="宋体" w:cs="宋体" w:hint="eastAsia"/>
          <w:kern w:val="0"/>
          <w:sz w:val="24"/>
          <w:szCs w:val="24"/>
        </w:rPr>
        <w:t>；轻、中、重的体力劳动强度去划分类，每个类别中都有相应的饮食指导与营养素的需求。</w:t>
      </w:r>
      <w:r w:rsidRPr="006C3A5B">
        <w:rPr>
          <w:rFonts w:ascii="宋体" w:cs="宋体"/>
          <w:kern w:val="0"/>
          <w:sz w:val="24"/>
          <w:szCs w:val="24"/>
        </w:rPr>
        <w:br/>
      </w:r>
      <w:r w:rsidRPr="006C3A5B">
        <w:rPr>
          <w:rFonts w:ascii="宋体" w:hAnsi="Wingdings" w:cs="宋体" w:hint="eastAsia"/>
          <w:kern w:val="0"/>
          <w:sz w:val="24"/>
          <w:szCs w:val="24"/>
        </w:rPr>
        <w:sym w:font="Wingdings" w:char="F06C"/>
      </w:r>
      <w:r w:rsidRPr="006C3A5B">
        <w:rPr>
          <w:rFonts w:ascii="宋体" w:hAnsi="宋体" w:cs="宋体" w:hint="eastAsia"/>
          <w:kern w:val="0"/>
          <w:sz w:val="24"/>
          <w:szCs w:val="24"/>
        </w:rPr>
        <w:t>膳食库：包含基本膳食、治疗膳食、特殊治疗膳食、试验膳食、代谢膳食库。</w:t>
      </w:r>
    </w:p>
    <w:p w:rsidR="00847333" w:rsidRDefault="00847333" w:rsidP="00847333">
      <w:pPr>
        <w:rPr>
          <w:rFonts w:ascii="宋体"/>
          <w:szCs w:val="21"/>
        </w:rPr>
      </w:pPr>
      <w:r w:rsidRPr="002678D0">
        <w:rPr>
          <w:rFonts w:ascii="宋体" w:hAnsi="宋体" w:hint="eastAsia"/>
          <w:b/>
          <w:sz w:val="28"/>
          <w:szCs w:val="28"/>
        </w:rPr>
        <w:t>三、</w:t>
      </w:r>
      <w:r w:rsidRPr="00B90F95">
        <w:rPr>
          <w:rFonts w:ascii="宋体" w:hAnsi="宋体" w:hint="eastAsia"/>
          <w:b/>
          <w:sz w:val="28"/>
          <w:szCs w:val="28"/>
          <w:u w:val="single"/>
        </w:rPr>
        <w:t>多功能食品安全检测仪</w:t>
      </w:r>
    </w:p>
    <w:p w:rsidR="00847333" w:rsidRPr="002678D0" w:rsidRDefault="00847333" w:rsidP="00847333">
      <w:pPr>
        <w:widowControl/>
        <w:spacing w:line="384" w:lineRule="atLeas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2678D0">
        <w:rPr>
          <w:rFonts w:ascii="宋体" w:hAnsi="宋体" w:cs="宋体" w:hint="eastAsia"/>
          <w:kern w:val="0"/>
          <w:sz w:val="24"/>
          <w:szCs w:val="24"/>
        </w:rPr>
        <w:t>主用于快速检测食品中、肉制品、蔬菜、水果及其它食品中的甲醛、亚硝酸盐、二氧化硫、吊白块等项目。检测通道：不少于</w:t>
      </w:r>
      <w:r w:rsidRPr="002678D0">
        <w:rPr>
          <w:rFonts w:ascii="宋体" w:hAnsi="宋体" w:cs="宋体"/>
          <w:kern w:val="0"/>
          <w:sz w:val="24"/>
          <w:szCs w:val="24"/>
        </w:rPr>
        <w:t>24</w:t>
      </w:r>
      <w:r w:rsidRPr="002678D0">
        <w:rPr>
          <w:rFonts w:ascii="宋体" w:hAnsi="宋体" w:cs="宋体" w:hint="eastAsia"/>
          <w:kern w:val="0"/>
          <w:sz w:val="24"/>
          <w:szCs w:val="24"/>
        </w:rPr>
        <w:t>个检测通道，可以同时测试多个样品，每个样品由程序控制分别独立工作。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 w:rsidRPr="002678D0">
        <w:rPr>
          <w:rFonts w:ascii="宋体" w:hAnsi="宋体" w:cs="宋体" w:hint="eastAsia"/>
          <w:kern w:val="0"/>
          <w:sz w:val="24"/>
          <w:szCs w:val="24"/>
        </w:rPr>
        <w:t>技术参数：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 w:rsidRPr="002678D0">
        <w:rPr>
          <w:rFonts w:ascii="宋体" w:hAnsi="宋体" w:cs="宋体" w:hint="eastAsia"/>
          <w:kern w:val="0"/>
          <w:sz w:val="24"/>
          <w:szCs w:val="24"/>
        </w:rPr>
        <w:t>光源采用超高亮发光二极管；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lastRenderedPageBreak/>
        <w:t>2</w:t>
      </w:r>
      <w:r w:rsidRPr="002678D0">
        <w:rPr>
          <w:rFonts w:ascii="宋体" w:hAnsi="宋体" w:cs="宋体" w:hint="eastAsia"/>
          <w:kern w:val="0"/>
          <w:sz w:val="24"/>
          <w:szCs w:val="24"/>
        </w:rPr>
        <w:t>低功耗、可靠性高，响应速度快等优点；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</w:t>
      </w:r>
      <w:r w:rsidRPr="002678D0">
        <w:rPr>
          <w:rFonts w:ascii="宋体" w:hAnsi="宋体" w:cs="宋体" w:hint="eastAsia"/>
          <w:kern w:val="0"/>
          <w:sz w:val="24"/>
          <w:szCs w:val="24"/>
        </w:rPr>
        <w:t>可随时进行数据查询、打印、删除等操作；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</w:t>
      </w:r>
      <w:r w:rsidRPr="002678D0">
        <w:rPr>
          <w:rFonts w:ascii="宋体" w:hAnsi="宋体" w:cs="宋体" w:hint="eastAsia"/>
          <w:kern w:val="0"/>
          <w:sz w:val="24"/>
          <w:szCs w:val="24"/>
        </w:rPr>
        <w:t>光电流稳定性：≦</w:t>
      </w:r>
      <w:r w:rsidRPr="002678D0">
        <w:rPr>
          <w:rFonts w:ascii="宋体" w:hAnsi="宋体" w:cs="宋体"/>
          <w:kern w:val="0"/>
          <w:sz w:val="24"/>
          <w:szCs w:val="24"/>
        </w:rPr>
        <w:t>1%T/3min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5</w:t>
      </w:r>
      <w:r w:rsidRPr="002678D0">
        <w:rPr>
          <w:rFonts w:ascii="宋体" w:hAnsi="宋体" w:cs="宋体" w:hint="eastAsia"/>
          <w:kern w:val="0"/>
          <w:sz w:val="24"/>
          <w:szCs w:val="24"/>
        </w:rPr>
        <w:t>透射比准确度：±</w:t>
      </w:r>
      <w:r w:rsidRPr="002678D0">
        <w:rPr>
          <w:rFonts w:ascii="宋体" w:hAnsi="宋体" w:cs="宋体"/>
          <w:kern w:val="0"/>
          <w:sz w:val="24"/>
          <w:szCs w:val="24"/>
        </w:rPr>
        <w:t>1.5%T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6</w:t>
      </w:r>
      <w:r w:rsidRPr="002678D0">
        <w:rPr>
          <w:rFonts w:ascii="宋体" w:hAnsi="宋体" w:cs="宋体" w:hint="eastAsia"/>
          <w:kern w:val="0"/>
          <w:sz w:val="24"/>
          <w:szCs w:val="24"/>
        </w:rPr>
        <w:t>透射比重复性：</w:t>
      </w:r>
      <w:r w:rsidRPr="002678D0">
        <w:rPr>
          <w:rFonts w:ascii="宋体" w:hAnsi="宋体" w:cs="宋体"/>
          <w:kern w:val="0"/>
          <w:sz w:val="24"/>
          <w:szCs w:val="24"/>
        </w:rPr>
        <w:t>1mg/kg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7</w:t>
      </w:r>
      <w:r w:rsidRPr="002678D0">
        <w:rPr>
          <w:rFonts w:ascii="宋体" w:hAnsi="宋体" w:cs="宋体" w:hint="eastAsia"/>
          <w:kern w:val="0"/>
          <w:sz w:val="24"/>
          <w:szCs w:val="24"/>
        </w:rPr>
        <w:t>检出下限：</w:t>
      </w:r>
      <w:r w:rsidRPr="002678D0">
        <w:rPr>
          <w:rFonts w:ascii="宋体" w:hAnsi="宋体" w:cs="宋体"/>
          <w:kern w:val="0"/>
          <w:sz w:val="24"/>
          <w:szCs w:val="24"/>
        </w:rPr>
        <w:t>1mg/kg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8</w:t>
      </w:r>
      <w:r w:rsidRPr="002678D0">
        <w:rPr>
          <w:rFonts w:ascii="宋体" w:hAnsi="宋体" w:cs="宋体" w:hint="eastAsia"/>
          <w:kern w:val="0"/>
          <w:sz w:val="24"/>
          <w:szCs w:val="24"/>
        </w:rPr>
        <w:t>检测范围：（</w:t>
      </w:r>
      <w:r w:rsidRPr="002678D0">
        <w:rPr>
          <w:rFonts w:ascii="宋体" w:hAnsi="宋体" w:cs="宋体"/>
          <w:kern w:val="0"/>
          <w:sz w:val="24"/>
          <w:szCs w:val="24"/>
        </w:rPr>
        <w:t>0~100</w:t>
      </w:r>
      <w:r w:rsidRPr="002678D0">
        <w:rPr>
          <w:rFonts w:ascii="宋体" w:hAnsi="宋体" w:cs="宋体" w:hint="eastAsia"/>
          <w:kern w:val="0"/>
          <w:sz w:val="24"/>
          <w:szCs w:val="24"/>
        </w:rPr>
        <w:t>）</w:t>
      </w:r>
      <w:r w:rsidRPr="002678D0">
        <w:rPr>
          <w:rFonts w:ascii="宋体" w:hAnsi="宋体" w:cs="宋体"/>
          <w:kern w:val="0"/>
          <w:sz w:val="24"/>
          <w:szCs w:val="24"/>
        </w:rPr>
        <w:t>mg/kg</w:t>
      </w:r>
    </w:p>
    <w:p w:rsidR="00847333" w:rsidRPr="002678D0" w:rsidRDefault="00847333" w:rsidP="00847333">
      <w:pPr>
        <w:spacing w:line="400" w:lineRule="exact"/>
        <w:rPr>
          <w:rFonts w:ascii="宋体"/>
          <w:b/>
          <w:sz w:val="28"/>
          <w:szCs w:val="28"/>
          <w:u w:val="single"/>
        </w:rPr>
      </w:pPr>
      <w:r w:rsidRPr="002678D0">
        <w:rPr>
          <w:rFonts w:ascii="宋体" w:hAnsi="宋体" w:hint="eastAsia"/>
          <w:b/>
          <w:sz w:val="28"/>
          <w:szCs w:val="28"/>
        </w:rPr>
        <w:t>四、</w:t>
      </w:r>
      <w:r w:rsidRPr="0063455C">
        <w:rPr>
          <w:rFonts w:ascii="宋体" w:hAnsi="宋体" w:hint="eastAsia"/>
          <w:b/>
          <w:sz w:val="28"/>
          <w:szCs w:val="28"/>
          <w:u w:val="single"/>
        </w:rPr>
        <w:t>农药残留检测仪</w:t>
      </w:r>
    </w:p>
    <w:p w:rsidR="00847333" w:rsidRPr="002678D0" w:rsidRDefault="00847333" w:rsidP="00847333">
      <w:pPr>
        <w:widowControl/>
        <w:spacing w:line="384" w:lineRule="atLeas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2678D0">
        <w:rPr>
          <w:rFonts w:ascii="宋体" w:hAnsi="宋体" w:cs="宋体" w:hint="eastAsia"/>
          <w:kern w:val="0"/>
          <w:sz w:val="24"/>
          <w:szCs w:val="24"/>
        </w:rPr>
        <w:t>主要用于蔬菜、水果、茶叶、粮食、农副产品等食品中有机磷和氨基甲酸酯类农药残留的快速检测≥</w:t>
      </w:r>
      <w:r w:rsidRPr="002678D0">
        <w:rPr>
          <w:rFonts w:ascii="宋体" w:hAnsi="宋体" w:cs="宋体"/>
          <w:kern w:val="0"/>
          <w:sz w:val="24"/>
          <w:szCs w:val="24"/>
        </w:rPr>
        <w:t>5</w:t>
      </w:r>
      <w:r w:rsidRPr="002678D0">
        <w:rPr>
          <w:rFonts w:ascii="宋体" w:hAnsi="宋体" w:cs="宋体" w:hint="eastAsia"/>
          <w:kern w:val="0"/>
          <w:sz w:val="24"/>
          <w:szCs w:val="24"/>
        </w:rPr>
        <w:t>个检测通道，可以同时测试多个样品，方便数据的存贮和移动，并可随时与计算机直接相连，并且可用计算机控制仪器。实现数据查询、浏览、分析、统计、打印等。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hAnsi="宋体" w:cs="宋体"/>
          <w:kern w:val="0"/>
          <w:sz w:val="24"/>
          <w:szCs w:val="24"/>
        </w:rPr>
      </w:pPr>
      <w:r w:rsidRPr="002678D0">
        <w:rPr>
          <w:rFonts w:cs="宋体" w:hint="eastAsia"/>
          <w:kern w:val="0"/>
          <w:sz w:val="24"/>
          <w:szCs w:val="24"/>
        </w:rPr>
        <w:t>技术参数；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cs="宋体"/>
          <w:kern w:val="0"/>
          <w:sz w:val="24"/>
          <w:szCs w:val="24"/>
        </w:rPr>
      </w:pPr>
      <w:r w:rsidRPr="002678D0">
        <w:rPr>
          <w:rFonts w:cs="宋体"/>
          <w:kern w:val="0"/>
          <w:sz w:val="24"/>
          <w:szCs w:val="24"/>
        </w:rPr>
        <w:t>1</w:t>
      </w:r>
      <w:r w:rsidRPr="002678D0">
        <w:rPr>
          <w:rFonts w:ascii="宋体" w:hAnsi="宋体" w:cs="宋体" w:hint="eastAsia"/>
          <w:kern w:val="0"/>
          <w:sz w:val="24"/>
          <w:szCs w:val="24"/>
        </w:rPr>
        <w:t>波长配置：</w:t>
      </w:r>
      <w:r w:rsidRPr="002678D0">
        <w:rPr>
          <w:rFonts w:ascii="宋体" w:hAnsi="宋体" w:cs="宋体"/>
          <w:kern w:val="0"/>
          <w:sz w:val="24"/>
          <w:szCs w:val="24"/>
        </w:rPr>
        <w:t>410nm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  <w:r w:rsidRPr="002678D0">
        <w:rPr>
          <w:rFonts w:ascii="宋体" w:cs="宋体"/>
          <w:kern w:val="0"/>
          <w:sz w:val="24"/>
          <w:szCs w:val="24"/>
        </w:rPr>
        <w:br/>
      </w:r>
      <w:r w:rsidRPr="002678D0">
        <w:rPr>
          <w:rFonts w:ascii="宋体" w:hAnsi="宋体" w:cs="宋体"/>
          <w:kern w:val="0"/>
          <w:sz w:val="24"/>
          <w:szCs w:val="24"/>
        </w:rPr>
        <w:t>2</w:t>
      </w:r>
      <w:r w:rsidRPr="002678D0">
        <w:rPr>
          <w:rFonts w:ascii="宋体" w:hAnsi="宋体" w:cs="宋体" w:hint="eastAsia"/>
          <w:kern w:val="0"/>
          <w:sz w:val="24"/>
          <w:szCs w:val="24"/>
        </w:rPr>
        <w:t>抑制率显示范围：</w:t>
      </w:r>
      <w:r w:rsidRPr="002678D0">
        <w:rPr>
          <w:rFonts w:ascii="宋体" w:hAnsi="宋体" w:cs="宋体"/>
          <w:kern w:val="0"/>
          <w:sz w:val="24"/>
          <w:szCs w:val="24"/>
        </w:rPr>
        <w:t>0%</w:t>
      </w:r>
      <w:r w:rsidRPr="002678D0">
        <w:rPr>
          <w:rFonts w:ascii="宋体" w:hAnsi="宋体" w:cs="宋体" w:hint="eastAsia"/>
          <w:kern w:val="0"/>
          <w:sz w:val="24"/>
          <w:szCs w:val="24"/>
        </w:rPr>
        <w:t>～</w:t>
      </w:r>
      <w:r w:rsidRPr="002678D0">
        <w:rPr>
          <w:rFonts w:ascii="宋体" w:hAnsi="宋体" w:cs="宋体"/>
          <w:kern w:val="0"/>
          <w:sz w:val="24"/>
          <w:szCs w:val="24"/>
        </w:rPr>
        <w:t>100%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  <w:r w:rsidRPr="002678D0">
        <w:rPr>
          <w:rFonts w:ascii="宋体" w:cs="宋体"/>
          <w:kern w:val="0"/>
          <w:sz w:val="24"/>
          <w:szCs w:val="24"/>
        </w:rPr>
        <w:br/>
      </w:r>
      <w:r w:rsidRPr="002678D0">
        <w:rPr>
          <w:rFonts w:ascii="宋体" w:hAnsi="宋体" w:cs="宋体"/>
          <w:kern w:val="0"/>
          <w:sz w:val="24"/>
          <w:szCs w:val="24"/>
        </w:rPr>
        <w:t>3</w:t>
      </w:r>
      <w:r w:rsidRPr="002678D0">
        <w:rPr>
          <w:rFonts w:ascii="宋体" w:hAnsi="宋体" w:cs="宋体" w:hint="eastAsia"/>
          <w:kern w:val="0"/>
          <w:sz w:val="24"/>
          <w:szCs w:val="24"/>
        </w:rPr>
        <w:t>抑制率测量范围：</w:t>
      </w:r>
      <w:r w:rsidRPr="002678D0">
        <w:rPr>
          <w:rFonts w:ascii="宋体" w:hAnsi="宋体" w:cs="宋体"/>
          <w:kern w:val="0"/>
          <w:sz w:val="24"/>
          <w:szCs w:val="24"/>
        </w:rPr>
        <w:t>0%</w:t>
      </w:r>
      <w:r w:rsidRPr="002678D0">
        <w:rPr>
          <w:rFonts w:ascii="宋体" w:hAnsi="宋体" w:cs="宋体" w:hint="eastAsia"/>
          <w:kern w:val="0"/>
          <w:sz w:val="24"/>
          <w:szCs w:val="24"/>
        </w:rPr>
        <w:t>～</w:t>
      </w:r>
      <w:r w:rsidRPr="002678D0">
        <w:rPr>
          <w:rFonts w:ascii="宋体" w:hAnsi="宋体" w:cs="宋体"/>
          <w:kern w:val="0"/>
          <w:sz w:val="24"/>
          <w:szCs w:val="24"/>
        </w:rPr>
        <w:t>100%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  <w:r w:rsidRPr="002678D0">
        <w:rPr>
          <w:rFonts w:ascii="宋体" w:cs="宋体"/>
          <w:kern w:val="0"/>
          <w:sz w:val="24"/>
          <w:szCs w:val="24"/>
        </w:rPr>
        <w:br/>
      </w:r>
      <w:r w:rsidRPr="002678D0">
        <w:rPr>
          <w:rFonts w:ascii="宋体" w:hAnsi="宋体" w:cs="宋体"/>
          <w:kern w:val="0"/>
          <w:sz w:val="24"/>
          <w:szCs w:val="24"/>
        </w:rPr>
        <w:t>4</w:t>
      </w:r>
      <w:r w:rsidRPr="002678D0">
        <w:rPr>
          <w:rFonts w:ascii="宋体" w:hAnsi="宋体" w:cs="宋体" w:hint="eastAsia"/>
          <w:kern w:val="0"/>
          <w:sz w:val="24"/>
          <w:szCs w:val="24"/>
        </w:rPr>
        <w:t>透射比准确度：±</w:t>
      </w:r>
      <w:r w:rsidRPr="002678D0">
        <w:rPr>
          <w:rFonts w:ascii="宋体" w:hAnsi="宋体" w:cs="宋体"/>
          <w:kern w:val="0"/>
          <w:sz w:val="24"/>
          <w:szCs w:val="24"/>
        </w:rPr>
        <w:t>1.5%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  <w:r w:rsidRPr="002678D0">
        <w:rPr>
          <w:rFonts w:ascii="宋体" w:cs="宋体"/>
          <w:kern w:val="0"/>
          <w:sz w:val="24"/>
          <w:szCs w:val="24"/>
        </w:rPr>
        <w:br/>
      </w:r>
      <w:r w:rsidRPr="002678D0">
        <w:rPr>
          <w:rFonts w:ascii="宋体" w:hAnsi="宋体" w:cs="宋体"/>
          <w:kern w:val="0"/>
          <w:sz w:val="24"/>
          <w:szCs w:val="24"/>
        </w:rPr>
        <w:t>5</w:t>
      </w:r>
      <w:r w:rsidRPr="002678D0">
        <w:rPr>
          <w:rFonts w:ascii="宋体" w:hAnsi="宋体" w:cs="宋体" w:hint="eastAsia"/>
          <w:kern w:val="0"/>
          <w:sz w:val="24"/>
          <w:szCs w:val="24"/>
        </w:rPr>
        <w:t>透射比重复性：≤</w:t>
      </w:r>
      <w:r w:rsidRPr="002678D0">
        <w:rPr>
          <w:rFonts w:ascii="宋体" w:hAnsi="宋体" w:cs="宋体"/>
          <w:kern w:val="0"/>
          <w:sz w:val="24"/>
          <w:szCs w:val="24"/>
        </w:rPr>
        <w:t>0.5%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47333" w:rsidRPr="002678D0" w:rsidRDefault="00847333" w:rsidP="00847333">
      <w:pPr>
        <w:widowControl/>
        <w:spacing w:line="384" w:lineRule="atLeast"/>
        <w:ind w:leftChars="228" w:left="479"/>
        <w:jc w:val="left"/>
        <w:rPr>
          <w:rFonts w:ascii="宋体" w:hAnsi="宋体" w:cs="宋体"/>
          <w:kern w:val="0"/>
          <w:sz w:val="24"/>
          <w:szCs w:val="24"/>
        </w:rPr>
      </w:pPr>
      <w:r w:rsidRPr="002678D0">
        <w:rPr>
          <w:rFonts w:ascii="宋体" w:hAnsi="宋体" w:cs="宋体"/>
          <w:kern w:val="0"/>
          <w:sz w:val="24"/>
          <w:szCs w:val="24"/>
        </w:rPr>
        <w:t xml:space="preserve">6 </w:t>
      </w:r>
      <w:r w:rsidRPr="002678D0">
        <w:rPr>
          <w:rFonts w:ascii="宋体" w:hAnsi="宋体" w:cs="宋体" w:hint="eastAsia"/>
          <w:kern w:val="0"/>
          <w:sz w:val="24"/>
          <w:szCs w:val="24"/>
        </w:rPr>
        <w:t>漂移：≤</w:t>
      </w:r>
      <w:r w:rsidRPr="002678D0">
        <w:rPr>
          <w:rFonts w:ascii="宋体" w:hAnsi="宋体" w:cs="宋体"/>
          <w:kern w:val="0"/>
          <w:sz w:val="24"/>
          <w:szCs w:val="24"/>
        </w:rPr>
        <w:t>0.005Abs/3min</w:t>
      </w:r>
      <w:r w:rsidRPr="002678D0">
        <w:rPr>
          <w:rFonts w:ascii="宋体" w:hAnsi="宋体" w:cs="宋体" w:hint="eastAsia"/>
          <w:kern w:val="0"/>
          <w:sz w:val="24"/>
          <w:szCs w:val="24"/>
        </w:rPr>
        <w:t>；</w:t>
      </w:r>
      <w:r w:rsidRPr="002678D0">
        <w:rPr>
          <w:rFonts w:ascii="宋体" w:cs="宋体"/>
          <w:kern w:val="0"/>
          <w:sz w:val="24"/>
          <w:szCs w:val="24"/>
        </w:rPr>
        <w:br/>
      </w:r>
      <w:r w:rsidRPr="002678D0">
        <w:rPr>
          <w:rFonts w:ascii="宋体" w:hAnsi="宋体" w:cs="宋体"/>
          <w:kern w:val="0"/>
          <w:sz w:val="24"/>
          <w:szCs w:val="24"/>
        </w:rPr>
        <w:t>7</w:t>
      </w:r>
      <w:r w:rsidRPr="002678D0">
        <w:rPr>
          <w:rFonts w:ascii="宋体" w:hAnsi="宋体" w:cs="宋体" w:hint="eastAsia"/>
          <w:kern w:val="0"/>
          <w:sz w:val="24"/>
          <w:szCs w:val="24"/>
        </w:rPr>
        <w:t>抑制率示值误差：≤</w:t>
      </w:r>
      <w:r w:rsidRPr="002678D0">
        <w:rPr>
          <w:rFonts w:ascii="宋体" w:hAnsi="宋体" w:cs="宋体"/>
          <w:kern w:val="0"/>
          <w:sz w:val="24"/>
          <w:szCs w:val="24"/>
        </w:rPr>
        <w:t>10%</w:t>
      </w:r>
      <w:r w:rsidRPr="002678D0">
        <w:rPr>
          <w:rFonts w:ascii="宋体" w:hAnsi="宋体" w:cs="宋体"/>
          <w:kern w:val="0"/>
          <w:sz w:val="24"/>
          <w:szCs w:val="24"/>
        </w:rPr>
        <w:br/>
        <w:t xml:space="preserve">8 </w:t>
      </w:r>
      <w:r w:rsidRPr="002678D0">
        <w:rPr>
          <w:rFonts w:ascii="宋体" w:hAnsi="宋体" w:cs="宋体" w:hint="eastAsia"/>
          <w:kern w:val="0"/>
          <w:sz w:val="24"/>
          <w:szCs w:val="24"/>
        </w:rPr>
        <w:t>抑制率重复性：≤</w:t>
      </w:r>
      <w:r w:rsidRPr="002678D0">
        <w:rPr>
          <w:rFonts w:ascii="宋体" w:hAnsi="宋体" w:cs="宋体"/>
          <w:kern w:val="0"/>
          <w:sz w:val="24"/>
          <w:szCs w:val="24"/>
        </w:rPr>
        <w:t>5%</w:t>
      </w:r>
    </w:p>
    <w:p w:rsidR="00CC12CD" w:rsidRDefault="00CC12CD"/>
    <w:sectPr w:rsidR="00CC12CD" w:rsidSect="00F21385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33"/>
    <w:rsid w:val="00847333"/>
    <w:rsid w:val="00C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301</Words>
  <Characters>1721</Characters>
  <Application>Microsoft Office Word</Application>
  <DocSecurity>0</DocSecurity>
  <Lines>14</Lines>
  <Paragraphs>4</Paragraphs>
  <ScaleCrop>false</ScaleCrop>
  <Company>moondance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2017-10-20T08:26:00Z</dcterms:created>
  <dcterms:modified xsi:type="dcterms:W3CDTF">2017-10-20T08:28:00Z</dcterms:modified>
</cp:coreProperties>
</file>